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48CDD" w14:textId="77777777" w:rsidR="00577312" w:rsidRPr="00BD06C1" w:rsidRDefault="00577312" w:rsidP="007805AC">
      <w:pPr>
        <w:jc w:val="both"/>
        <w:rPr>
          <w:rFonts w:asciiTheme="majorHAnsi" w:hAnsiTheme="majorHAnsi" w:cstheme="majorHAnsi"/>
          <w:sz w:val="22"/>
          <w:szCs w:val="22"/>
          <w:lang w:val="en-US"/>
        </w:rPr>
      </w:pPr>
    </w:p>
    <w:p w14:paraId="45CCBA5D" w14:textId="77777777" w:rsidR="00BB1956" w:rsidRPr="00BD06C1" w:rsidRDefault="00BB1956" w:rsidP="007805AC">
      <w:pPr>
        <w:jc w:val="center"/>
        <w:rPr>
          <w:rFonts w:asciiTheme="majorHAnsi" w:hAnsiTheme="majorHAnsi" w:cstheme="majorHAnsi"/>
          <w:sz w:val="22"/>
          <w:szCs w:val="22"/>
          <w:lang w:val="en-US"/>
        </w:rPr>
      </w:pPr>
    </w:p>
    <w:p w14:paraId="4A1AE176" w14:textId="7D8DD90D" w:rsidR="00486C61" w:rsidRPr="00BD06C1" w:rsidRDefault="00BB1956" w:rsidP="007805AC">
      <w:pPr>
        <w:jc w:val="center"/>
        <w:rPr>
          <w:rFonts w:asciiTheme="majorHAnsi" w:hAnsiTheme="majorHAnsi" w:cstheme="majorHAnsi"/>
          <w:sz w:val="22"/>
          <w:szCs w:val="22"/>
          <w:lang w:val="en-US"/>
        </w:rPr>
      </w:pPr>
      <w:r w:rsidRPr="00BD06C1">
        <w:rPr>
          <w:rFonts w:asciiTheme="majorHAnsi" w:hAnsiTheme="majorHAnsi" w:cstheme="majorHAnsi"/>
          <w:sz w:val="22"/>
          <w:szCs w:val="22"/>
          <w:lang w:val="en-US"/>
        </w:rPr>
        <w:t>Concept Note for the Online Training on the Application of the Regional Guidelines – Value Chain Development and Market Access for Non-Wood Forest Products in Southeastern Europe, Central Asia, and the Caucasus</w:t>
      </w:r>
    </w:p>
    <w:p w14:paraId="2647607D" w14:textId="77777777" w:rsidR="00BB1956" w:rsidRPr="00BD06C1" w:rsidRDefault="00BB1956" w:rsidP="007805AC">
      <w:pPr>
        <w:jc w:val="center"/>
        <w:rPr>
          <w:rFonts w:asciiTheme="majorHAnsi" w:hAnsiTheme="majorHAnsi" w:cstheme="majorHAnsi"/>
          <w:sz w:val="22"/>
          <w:szCs w:val="22"/>
          <w:lang w:val="en-US"/>
        </w:rPr>
      </w:pPr>
    </w:p>
    <w:p w14:paraId="03F43CCF" w14:textId="77777777" w:rsidR="00BB1956" w:rsidRPr="00BD06C1" w:rsidRDefault="00BB1956" w:rsidP="007805AC">
      <w:pPr>
        <w:jc w:val="center"/>
        <w:rPr>
          <w:rFonts w:asciiTheme="majorHAnsi" w:hAnsiTheme="majorHAnsi" w:cstheme="majorHAnsi"/>
          <w:sz w:val="22"/>
          <w:szCs w:val="22"/>
          <w:lang w:val="en-US"/>
        </w:rPr>
      </w:pPr>
    </w:p>
    <w:p w14:paraId="2484C840" w14:textId="3EE214F8" w:rsidR="00BB1956" w:rsidRPr="00BD06C1" w:rsidRDefault="00BB1956" w:rsidP="007805AC">
      <w:pPr>
        <w:ind w:left="1416"/>
        <w:rPr>
          <w:rFonts w:asciiTheme="majorHAnsi" w:hAnsiTheme="majorHAnsi" w:cstheme="majorHAnsi"/>
          <w:i/>
          <w:iCs/>
          <w:sz w:val="22"/>
          <w:szCs w:val="22"/>
          <w:lang w:val="en-US"/>
        </w:rPr>
      </w:pPr>
      <w:r w:rsidRPr="00BD06C1">
        <w:rPr>
          <w:rFonts w:asciiTheme="majorHAnsi" w:hAnsiTheme="majorHAnsi" w:cstheme="majorHAnsi"/>
          <w:b/>
          <w:bCs/>
          <w:sz w:val="22"/>
          <w:szCs w:val="22"/>
          <w:lang w:val="en-US"/>
        </w:rPr>
        <w:t>Training Date</w:t>
      </w:r>
      <w:r w:rsidRPr="00BD06C1">
        <w:rPr>
          <w:rFonts w:asciiTheme="majorHAnsi" w:hAnsiTheme="majorHAnsi" w:cstheme="majorHAnsi"/>
          <w:b/>
          <w:bCs/>
          <w:sz w:val="22"/>
          <w:szCs w:val="22"/>
          <w:lang w:val="en-US"/>
        </w:rPr>
        <w:tab/>
      </w:r>
      <w:r w:rsidR="00737950" w:rsidRPr="00BD06C1">
        <w:rPr>
          <w:rFonts w:asciiTheme="majorHAnsi" w:hAnsiTheme="majorHAnsi" w:cstheme="majorHAnsi"/>
          <w:b/>
          <w:bCs/>
          <w:sz w:val="22"/>
          <w:szCs w:val="22"/>
          <w:lang w:val="en-US"/>
        </w:rPr>
        <w:tab/>
      </w:r>
      <w:r w:rsidRPr="00BD06C1">
        <w:rPr>
          <w:rFonts w:asciiTheme="majorHAnsi" w:hAnsiTheme="majorHAnsi" w:cstheme="majorHAnsi"/>
          <w:b/>
          <w:bCs/>
          <w:sz w:val="22"/>
          <w:szCs w:val="22"/>
          <w:lang w:val="en-US"/>
        </w:rPr>
        <w:t xml:space="preserve">: </w:t>
      </w:r>
      <w:r w:rsidRPr="00BD06C1">
        <w:rPr>
          <w:rFonts w:asciiTheme="majorHAnsi" w:hAnsiTheme="majorHAnsi" w:cstheme="majorHAnsi"/>
          <w:sz w:val="22"/>
          <w:szCs w:val="22"/>
          <w:lang w:val="en-US"/>
        </w:rPr>
        <w:t>Thursday, 25 September 2025</w:t>
      </w:r>
      <w:r w:rsidRPr="00BD06C1">
        <w:rPr>
          <w:rFonts w:asciiTheme="majorHAnsi" w:hAnsiTheme="majorHAnsi" w:cstheme="majorHAnsi"/>
          <w:sz w:val="22"/>
          <w:szCs w:val="22"/>
          <w:lang w:val="en-US"/>
        </w:rPr>
        <w:br/>
      </w:r>
      <w:r w:rsidRPr="00BD06C1">
        <w:rPr>
          <w:rFonts w:asciiTheme="majorHAnsi" w:hAnsiTheme="majorHAnsi" w:cstheme="majorHAnsi"/>
          <w:b/>
          <w:bCs/>
          <w:sz w:val="22"/>
          <w:szCs w:val="22"/>
          <w:lang w:val="en-US"/>
        </w:rPr>
        <w:t>Time</w:t>
      </w:r>
      <w:r w:rsidRPr="00BD06C1">
        <w:rPr>
          <w:rFonts w:asciiTheme="majorHAnsi" w:hAnsiTheme="majorHAnsi" w:cstheme="majorHAnsi"/>
          <w:b/>
          <w:bCs/>
          <w:sz w:val="22"/>
          <w:szCs w:val="22"/>
          <w:lang w:val="en-US"/>
        </w:rPr>
        <w:tab/>
      </w:r>
      <w:r w:rsidRPr="00BD06C1">
        <w:rPr>
          <w:rFonts w:asciiTheme="majorHAnsi" w:hAnsiTheme="majorHAnsi" w:cstheme="majorHAnsi"/>
          <w:b/>
          <w:bCs/>
          <w:sz w:val="22"/>
          <w:szCs w:val="22"/>
          <w:lang w:val="en-US"/>
        </w:rPr>
        <w:tab/>
      </w:r>
      <w:r w:rsidRPr="00BD06C1">
        <w:rPr>
          <w:rFonts w:asciiTheme="majorHAnsi" w:hAnsiTheme="majorHAnsi" w:cstheme="majorHAnsi"/>
          <w:b/>
          <w:bCs/>
          <w:sz w:val="22"/>
          <w:szCs w:val="22"/>
          <w:lang w:val="en-US"/>
        </w:rPr>
        <w:tab/>
        <w:t xml:space="preserve">: </w:t>
      </w:r>
      <w:r w:rsidRPr="00BD06C1">
        <w:rPr>
          <w:rFonts w:asciiTheme="majorHAnsi" w:hAnsiTheme="majorHAnsi" w:cstheme="majorHAnsi"/>
          <w:sz w:val="22"/>
          <w:szCs w:val="22"/>
          <w:lang w:val="en-US"/>
        </w:rPr>
        <w:t>09:00 – 11:</w:t>
      </w:r>
      <w:r w:rsidR="00DE5D9C">
        <w:rPr>
          <w:rFonts w:asciiTheme="majorHAnsi" w:hAnsiTheme="majorHAnsi" w:cstheme="majorHAnsi"/>
          <w:sz w:val="22"/>
          <w:szCs w:val="22"/>
          <w:lang w:val="en-US"/>
        </w:rPr>
        <w:t>45</w:t>
      </w:r>
      <w:r w:rsidRPr="00BD06C1">
        <w:rPr>
          <w:rFonts w:asciiTheme="majorHAnsi" w:hAnsiTheme="majorHAnsi" w:cstheme="majorHAnsi"/>
          <w:sz w:val="22"/>
          <w:szCs w:val="22"/>
          <w:lang w:val="en-US"/>
        </w:rPr>
        <w:t xml:space="preserve"> (Türkiye Time – TRT, UTC+3)</w:t>
      </w:r>
      <w:r w:rsidRPr="00BD06C1">
        <w:rPr>
          <w:rFonts w:asciiTheme="majorHAnsi" w:hAnsiTheme="majorHAnsi" w:cstheme="majorHAnsi"/>
          <w:sz w:val="22"/>
          <w:szCs w:val="22"/>
          <w:lang w:val="en-US"/>
        </w:rPr>
        <w:br/>
      </w:r>
      <w:r w:rsidRPr="00BD06C1">
        <w:rPr>
          <w:rFonts w:asciiTheme="majorHAnsi" w:hAnsiTheme="majorHAnsi" w:cstheme="majorHAnsi"/>
          <w:b/>
          <w:bCs/>
          <w:sz w:val="22"/>
          <w:szCs w:val="22"/>
          <w:lang w:val="en-US"/>
        </w:rPr>
        <w:t>Platform</w:t>
      </w:r>
      <w:r w:rsidRPr="00BD06C1">
        <w:rPr>
          <w:rFonts w:asciiTheme="majorHAnsi" w:hAnsiTheme="majorHAnsi" w:cstheme="majorHAnsi"/>
          <w:b/>
          <w:bCs/>
          <w:sz w:val="22"/>
          <w:szCs w:val="22"/>
          <w:lang w:val="en-US"/>
        </w:rPr>
        <w:tab/>
      </w:r>
      <w:r w:rsidRPr="00BD06C1">
        <w:rPr>
          <w:rFonts w:asciiTheme="majorHAnsi" w:hAnsiTheme="majorHAnsi" w:cstheme="majorHAnsi"/>
          <w:b/>
          <w:bCs/>
          <w:sz w:val="22"/>
          <w:szCs w:val="22"/>
          <w:lang w:val="en-US"/>
        </w:rPr>
        <w:tab/>
        <w:t xml:space="preserve">: </w:t>
      </w:r>
      <w:r w:rsidRPr="00BD06C1">
        <w:rPr>
          <w:rFonts w:asciiTheme="majorHAnsi" w:hAnsiTheme="majorHAnsi" w:cstheme="majorHAnsi"/>
          <w:sz w:val="22"/>
          <w:szCs w:val="22"/>
          <w:lang w:val="en-US"/>
        </w:rPr>
        <w:t xml:space="preserve">Zoom </w:t>
      </w:r>
      <w:r w:rsidRPr="00BD06C1">
        <w:rPr>
          <w:rFonts w:asciiTheme="majorHAnsi" w:hAnsiTheme="majorHAnsi" w:cstheme="majorHAnsi"/>
          <w:i/>
          <w:iCs/>
          <w:sz w:val="22"/>
          <w:szCs w:val="22"/>
          <w:lang w:val="en-US"/>
        </w:rPr>
        <w:t>(link will be provided after registration</w:t>
      </w:r>
      <w:r w:rsidR="00EE29C8">
        <w:rPr>
          <w:rFonts w:asciiTheme="majorHAnsi" w:hAnsiTheme="majorHAnsi" w:cstheme="majorHAnsi"/>
          <w:i/>
          <w:iCs/>
          <w:sz w:val="22"/>
          <w:szCs w:val="22"/>
          <w:lang w:val="en-US"/>
        </w:rPr>
        <w:t xml:space="preserve"> through </w:t>
      </w:r>
      <w:hyperlink r:id="rId8" w:history="1">
        <w:r w:rsidR="00EE29C8" w:rsidRPr="00955D39">
          <w:rPr>
            <w:rStyle w:val="Kpr"/>
            <w:rFonts w:asciiTheme="majorHAnsi" w:hAnsiTheme="majorHAnsi" w:cstheme="majorHAnsi"/>
            <w:i/>
            <w:iCs/>
            <w:sz w:val="22"/>
            <w:szCs w:val="22"/>
            <w:lang w:val="en-US"/>
          </w:rPr>
          <w:t>https://www.omoprojects.com/</w:t>
        </w:r>
      </w:hyperlink>
      <w:r w:rsidR="00EE29C8">
        <w:rPr>
          <w:rFonts w:asciiTheme="majorHAnsi" w:hAnsiTheme="majorHAnsi" w:cstheme="majorHAnsi"/>
          <w:i/>
          <w:iCs/>
          <w:sz w:val="22"/>
          <w:szCs w:val="22"/>
          <w:lang w:val="en-US"/>
        </w:rPr>
        <w:t xml:space="preserve"> </w:t>
      </w:r>
      <w:r w:rsidRPr="00BD06C1">
        <w:rPr>
          <w:rFonts w:asciiTheme="majorHAnsi" w:hAnsiTheme="majorHAnsi" w:cstheme="majorHAnsi"/>
          <w:i/>
          <w:iCs/>
          <w:sz w:val="22"/>
          <w:szCs w:val="22"/>
          <w:lang w:val="en-US"/>
        </w:rPr>
        <w:t>)</w:t>
      </w:r>
    </w:p>
    <w:p w14:paraId="4D9D9FA4" w14:textId="5A52455C" w:rsidR="00DE5D9C" w:rsidRPr="00BD06C1" w:rsidRDefault="00DE5D9C" w:rsidP="00DE5D9C">
      <w:pPr>
        <w:ind w:left="708" w:firstLine="708"/>
        <w:rPr>
          <w:rFonts w:asciiTheme="majorHAnsi" w:hAnsiTheme="majorHAnsi" w:cstheme="majorHAnsi"/>
          <w:i/>
          <w:iCs/>
          <w:sz w:val="22"/>
          <w:szCs w:val="22"/>
          <w:lang w:val="en-US"/>
        </w:rPr>
      </w:pPr>
      <w:r w:rsidRPr="00BD06C1">
        <w:rPr>
          <w:rFonts w:asciiTheme="majorHAnsi" w:hAnsiTheme="majorHAnsi" w:cstheme="majorHAnsi"/>
          <w:b/>
          <w:bCs/>
          <w:sz w:val="22"/>
          <w:szCs w:val="22"/>
          <w:lang w:val="en-US"/>
        </w:rPr>
        <w:t>Languages</w:t>
      </w:r>
      <w:r>
        <w:rPr>
          <w:rFonts w:asciiTheme="majorHAnsi" w:hAnsiTheme="majorHAnsi" w:cstheme="majorHAnsi"/>
          <w:b/>
          <w:bCs/>
          <w:sz w:val="22"/>
          <w:szCs w:val="22"/>
          <w:lang w:val="en-US"/>
        </w:rPr>
        <w:tab/>
      </w:r>
      <w:r>
        <w:rPr>
          <w:rFonts w:asciiTheme="majorHAnsi" w:hAnsiTheme="majorHAnsi" w:cstheme="majorHAnsi"/>
          <w:b/>
          <w:bCs/>
          <w:sz w:val="22"/>
          <w:szCs w:val="22"/>
          <w:lang w:val="en-US"/>
        </w:rPr>
        <w:tab/>
      </w:r>
      <w:r w:rsidRPr="00BD06C1">
        <w:rPr>
          <w:rFonts w:asciiTheme="majorHAnsi" w:hAnsiTheme="majorHAnsi" w:cstheme="majorHAnsi"/>
          <w:b/>
          <w:bCs/>
          <w:sz w:val="22"/>
          <w:szCs w:val="22"/>
          <w:lang w:val="en-US"/>
        </w:rPr>
        <w:t>:</w:t>
      </w:r>
      <w:r w:rsidRPr="00BD06C1">
        <w:rPr>
          <w:rFonts w:asciiTheme="majorHAnsi" w:hAnsiTheme="majorHAnsi" w:cstheme="majorHAnsi"/>
          <w:sz w:val="22"/>
          <w:szCs w:val="22"/>
          <w:lang w:val="en-US"/>
        </w:rPr>
        <w:t xml:space="preserve"> English with simultaneous Russian</w:t>
      </w:r>
      <w:r>
        <w:rPr>
          <w:rFonts w:asciiTheme="majorHAnsi" w:hAnsiTheme="majorHAnsi" w:cstheme="majorHAnsi"/>
          <w:sz w:val="22"/>
          <w:szCs w:val="22"/>
          <w:lang w:val="en-US"/>
        </w:rPr>
        <w:t xml:space="preserve"> </w:t>
      </w:r>
      <w:r w:rsidRPr="00BD06C1">
        <w:rPr>
          <w:rFonts w:asciiTheme="majorHAnsi" w:hAnsiTheme="majorHAnsi" w:cstheme="majorHAnsi"/>
          <w:sz w:val="22"/>
          <w:szCs w:val="22"/>
          <w:lang w:val="en-US"/>
        </w:rPr>
        <w:t>translation</w:t>
      </w:r>
    </w:p>
    <w:p w14:paraId="45175C4D" w14:textId="77777777" w:rsidR="00866FD4" w:rsidRPr="00BD06C1" w:rsidRDefault="00866FD4" w:rsidP="007805AC">
      <w:pPr>
        <w:ind w:left="1416"/>
        <w:jc w:val="center"/>
        <w:rPr>
          <w:rFonts w:asciiTheme="majorHAnsi" w:hAnsiTheme="majorHAnsi" w:cstheme="majorHAnsi"/>
          <w:sz w:val="22"/>
          <w:szCs w:val="22"/>
          <w:lang w:val="en-US"/>
        </w:rPr>
      </w:pPr>
    </w:p>
    <w:p w14:paraId="32A71FA0" w14:textId="77777777" w:rsidR="00866FD4" w:rsidRPr="00BD06C1" w:rsidRDefault="00866FD4" w:rsidP="007805AC">
      <w:pPr>
        <w:ind w:left="1416"/>
        <w:jc w:val="center"/>
        <w:rPr>
          <w:rFonts w:asciiTheme="majorHAnsi" w:hAnsiTheme="majorHAnsi" w:cstheme="majorHAnsi"/>
          <w:sz w:val="22"/>
          <w:szCs w:val="22"/>
          <w:lang w:val="en-US"/>
        </w:rPr>
      </w:pPr>
    </w:p>
    <w:p w14:paraId="35AE8289" w14:textId="77777777" w:rsidR="00866FD4" w:rsidRPr="00BD06C1" w:rsidRDefault="00866FD4" w:rsidP="007805AC">
      <w:pPr>
        <w:ind w:left="1416"/>
        <w:jc w:val="center"/>
        <w:rPr>
          <w:rFonts w:asciiTheme="majorHAnsi" w:hAnsiTheme="majorHAnsi" w:cstheme="majorHAnsi"/>
          <w:sz w:val="22"/>
          <w:szCs w:val="22"/>
          <w:lang w:val="en-US"/>
        </w:rPr>
      </w:pPr>
    </w:p>
    <w:p w14:paraId="621BFEB3" w14:textId="77777777" w:rsidR="00866FD4" w:rsidRPr="00BD06C1" w:rsidRDefault="00866FD4" w:rsidP="007805AC">
      <w:pPr>
        <w:ind w:left="1416"/>
        <w:jc w:val="center"/>
        <w:rPr>
          <w:rFonts w:asciiTheme="majorHAnsi" w:hAnsiTheme="majorHAnsi" w:cstheme="majorHAnsi"/>
          <w:sz w:val="22"/>
          <w:szCs w:val="22"/>
          <w:lang w:val="en-US"/>
        </w:rPr>
      </w:pPr>
    </w:p>
    <w:p w14:paraId="12C51EA0" w14:textId="77777777" w:rsidR="00866FD4" w:rsidRPr="00BD06C1" w:rsidRDefault="00866FD4" w:rsidP="007805AC">
      <w:pPr>
        <w:ind w:left="1416"/>
        <w:jc w:val="center"/>
        <w:rPr>
          <w:rFonts w:asciiTheme="majorHAnsi" w:hAnsiTheme="majorHAnsi" w:cstheme="majorHAnsi"/>
          <w:sz w:val="22"/>
          <w:szCs w:val="22"/>
          <w:lang w:val="en-US"/>
        </w:rPr>
      </w:pPr>
    </w:p>
    <w:p w14:paraId="048897F8" w14:textId="598B75C6" w:rsidR="00866FD4" w:rsidRDefault="00866FD4" w:rsidP="007805AC">
      <w:pPr>
        <w:ind w:left="708"/>
        <w:jc w:val="center"/>
        <w:rPr>
          <w:rFonts w:asciiTheme="majorHAnsi" w:hAnsiTheme="majorHAnsi" w:cstheme="majorHAnsi"/>
          <w:sz w:val="22"/>
          <w:szCs w:val="22"/>
          <w:lang w:val="en-US"/>
        </w:rPr>
      </w:pPr>
      <w:r w:rsidRPr="00BD06C1">
        <w:rPr>
          <w:rFonts w:asciiTheme="majorHAnsi" w:hAnsiTheme="majorHAnsi" w:cstheme="majorHAnsi"/>
          <w:sz w:val="22"/>
          <w:szCs w:val="22"/>
          <w:lang w:val="en-US"/>
        </w:rPr>
        <w:t>The Chamber of Forest Engineers of Türkiye (OMO)</w:t>
      </w:r>
    </w:p>
    <w:p w14:paraId="7C6AAFC0" w14:textId="4847EBE6" w:rsidR="00060CB6" w:rsidRPr="00BD06C1" w:rsidRDefault="00EE29C8" w:rsidP="007805AC">
      <w:pPr>
        <w:ind w:left="708"/>
        <w:jc w:val="center"/>
        <w:rPr>
          <w:rFonts w:asciiTheme="majorHAnsi" w:hAnsiTheme="majorHAnsi" w:cstheme="majorHAnsi"/>
          <w:sz w:val="22"/>
          <w:szCs w:val="22"/>
          <w:lang w:val="en-US"/>
        </w:rPr>
      </w:pPr>
      <w:r>
        <w:rPr>
          <w:rFonts w:asciiTheme="majorHAnsi" w:hAnsiTheme="majorHAnsi" w:cstheme="majorHAnsi"/>
          <w:sz w:val="22"/>
          <w:szCs w:val="22"/>
          <w:lang w:val="en-US"/>
        </w:rPr>
        <w:t>22</w:t>
      </w:r>
      <w:r w:rsidR="00060CB6">
        <w:rPr>
          <w:rFonts w:asciiTheme="majorHAnsi" w:hAnsiTheme="majorHAnsi" w:cstheme="majorHAnsi"/>
          <w:sz w:val="22"/>
          <w:szCs w:val="22"/>
          <w:lang w:val="en-US"/>
        </w:rPr>
        <w:t xml:space="preserve"> September 2025</w:t>
      </w:r>
    </w:p>
    <w:p w14:paraId="6E897CA7" w14:textId="77777777" w:rsidR="00737950" w:rsidRPr="00BD06C1" w:rsidRDefault="00737950" w:rsidP="007805AC">
      <w:pPr>
        <w:ind w:left="708"/>
        <w:jc w:val="center"/>
        <w:rPr>
          <w:rFonts w:asciiTheme="majorHAnsi" w:hAnsiTheme="majorHAnsi" w:cstheme="majorHAnsi"/>
          <w:sz w:val="22"/>
          <w:szCs w:val="22"/>
          <w:lang w:val="en-US"/>
        </w:rPr>
      </w:pPr>
    </w:p>
    <w:p w14:paraId="69417F46" w14:textId="77777777" w:rsidR="00737950" w:rsidRPr="00BD06C1" w:rsidRDefault="00737950" w:rsidP="007805AC">
      <w:pPr>
        <w:ind w:left="708"/>
        <w:jc w:val="center"/>
        <w:rPr>
          <w:rFonts w:asciiTheme="majorHAnsi" w:hAnsiTheme="majorHAnsi" w:cstheme="majorHAnsi"/>
          <w:sz w:val="22"/>
          <w:szCs w:val="22"/>
          <w:lang w:val="en-US"/>
        </w:rPr>
      </w:pPr>
    </w:p>
    <w:p w14:paraId="2D6E6F6A" w14:textId="77777777" w:rsidR="00737950" w:rsidRPr="00BD06C1" w:rsidRDefault="00737950" w:rsidP="007805AC">
      <w:pPr>
        <w:ind w:left="708"/>
        <w:jc w:val="center"/>
        <w:rPr>
          <w:rFonts w:asciiTheme="majorHAnsi" w:hAnsiTheme="majorHAnsi" w:cstheme="majorHAnsi"/>
          <w:sz w:val="22"/>
          <w:szCs w:val="22"/>
          <w:lang w:val="en-US"/>
        </w:rPr>
      </w:pPr>
    </w:p>
    <w:p w14:paraId="3D1D7AE0" w14:textId="77777777" w:rsidR="00737950" w:rsidRPr="00BD06C1" w:rsidRDefault="00737950" w:rsidP="007805AC">
      <w:pPr>
        <w:ind w:left="708"/>
        <w:jc w:val="center"/>
        <w:rPr>
          <w:rFonts w:asciiTheme="majorHAnsi" w:hAnsiTheme="majorHAnsi" w:cstheme="majorHAnsi"/>
          <w:sz w:val="22"/>
          <w:szCs w:val="22"/>
          <w:lang w:val="en-US"/>
        </w:rPr>
      </w:pPr>
    </w:p>
    <w:sdt>
      <w:sdtPr>
        <w:rPr>
          <w:rFonts w:ascii="Calibri" w:eastAsiaTheme="minorHAnsi" w:hAnsi="Calibri" w:cstheme="majorHAnsi"/>
          <w:color w:val="auto"/>
          <w:kern w:val="2"/>
          <w:sz w:val="22"/>
          <w:szCs w:val="22"/>
          <w:lang w:val="en-US" w:eastAsia="en-US"/>
          <w14:ligatures w14:val="standardContextual"/>
        </w:rPr>
        <w:id w:val="850300278"/>
        <w:docPartObj>
          <w:docPartGallery w:val="Table of Contents"/>
          <w:docPartUnique/>
        </w:docPartObj>
      </w:sdtPr>
      <w:sdtEndPr>
        <w:rPr>
          <w:b/>
          <w:bCs/>
        </w:rPr>
      </w:sdtEndPr>
      <w:sdtContent>
        <w:p w14:paraId="2DA3785B" w14:textId="6C7EFAE4" w:rsidR="00737950" w:rsidRPr="00BD06C1" w:rsidRDefault="00737950">
          <w:pPr>
            <w:pStyle w:val="TBal"/>
            <w:rPr>
              <w:rFonts w:cstheme="majorHAnsi"/>
              <w:sz w:val="22"/>
              <w:szCs w:val="22"/>
              <w:lang w:val="en-US"/>
            </w:rPr>
          </w:pPr>
          <w:r w:rsidRPr="00BD06C1">
            <w:rPr>
              <w:rFonts w:cstheme="majorHAnsi"/>
              <w:sz w:val="22"/>
              <w:szCs w:val="22"/>
              <w:lang w:val="en-US"/>
            </w:rPr>
            <w:t>Contents</w:t>
          </w:r>
        </w:p>
        <w:p w14:paraId="4427C1EB" w14:textId="5F46C0CD" w:rsidR="004B4084" w:rsidRDefault="00737950">
          <w:pPr>
            <w:pStyle w:val="T1"/>
            <w:tabs>
              <w:tab w:val="right" w:leader="dot" w:pos="9062"/>
            </w:tabs>
            <w:rPr>
              <w:rFonts w:asciiTheme="minorHAnsi" w:eastAsiaTheme="minorEastAsia" w:hAnsiTheme="minorHAnsi" w:cstheme="minorBidi"/>
              <w:noProof/>
              <w:sz w:val="24"/>
              <w:szCs w:val="24"/>
              <w:lang w:eastAsia="tr-TR"/>
            </w:rPr>
          </w:pPr>
          <w:r w:rsidRPr="00BD06C1">
            <w:rPr>
              <w:rFonts w:asciiTheme="majorHAnsi" w:hAnsiTheme="majorHAnsi" w:cstheme="majorHAnsi"/>
              <w:sz w:val="22"/>
              <w:szCs w:val="22"/>
              <w:lang w:val="en-US"/>
            </w:rPr>
            <w:fldChar w:fldCharType="begin"/>
          </w:r>
          <w:r w:rsidRPr="00BD06C1">
            <w:rPr>
              <w:rFonts w:asciiTheme="majorHAnsi" w:hAnsiTheme="majorHAnsi" w:cstheme="majorHAnsi"/>
              <w:sz w:val="22"/>
              <w:szCs w:val="22"/>
              <w:lang w:val="en-US"/>
            </w:rPr>
            <w:instrText xml:space="preserve"> TOC \o "1-3" \h \z \u </w:instrText>
          </w:r>
          <w:r w:rsidRPr="00BD06C1">
            <w:rPr>
              <w:rFonts w:asciiTheme="majorHAnsi" w:hAnsiTheme="majorHAnsi" w:cstheme="majorHAnsi"/>
              <w:sz w:val="22"/>
              <w:szCs w:val="22"/>
              <w:lang w:val="en-US"/>
            </w:rPr>
            <w:fldChar w:fldCharType="separate"/>
          </w:r>
          <w:hyperlink w:anchor="_Toc209423068" w:history="1">
            <w:r w:rsidR="004B4084" w:rsidRPr="00AC7390">
              <w:rPr>
                <w:rStyle w:val="Kpr"/>
                <w:noProof/>
                <w:lang w:val="en-US" w:eastAsia="tr-TR"/>
              </w:rPr>
              <w:t>Background</w:t>
            </w:r>
            <w:r w:rsidR="004B4084">
              <w:rPr>
                <w:noProof/>
                <w:webHidden/>
              </w:rPr>
              <w:tab/>
            </w:r>
            <w:r w:rsidR="004B4084">
              <w:rPr>
                <w:noProof/>
                <w:webHidden/>
              </w:rPr>
              <w:fldChar w:fldCharType="begin"/>
            </w:r>
            <w:r w:rsidR="004B4084">
              <w:rPr>
                <w:noProof/>
                <w:webHidden/>
              </w:rPr>
              <w:instrText xml:space="preserve"> PAGEREF _Toc209423068 \h </w:instrText>
            </w:r>
            <w:r w:rsidR="004B4084">
              <w:rPr>
                <w:noProof/>
                <w:webHidden/>
              </w:rPr>
            </w:r>
            <w:r w:rsidR="004B4084">
              <w:rPr>
                <w:noProof/>
                <w:webHidden/>
              </w:rPr>
              <w:fldChar w:fldCharType="separate"/>
            </w:r>
            <w:r w:rsidR="004B4084">
              <w:rPr>
                <w:noProof/>
                <w:webHidden/>
              </w:rPr>
              <w:t>2</w:t>
            </w:r>
            <w:r w:rsidR="004B4084">
              <w:rPr>
                <w:noProof/>
                <w:webHidden/>
              </w:rPr>
              <w:fldChar w:fldCharType="end"/>
            </w:r>
          </w:hyperlink>
        </w:p>
        <w:p w14:paraId="4447310F" w14:textId="3FED8A4F" w:rsidR="004B4084" w:rsidRDefault="004B4084">
          <w:pPr>
            <w:pStyle w:val="T1"/>
            <w:tabs>
              <w:tab w:val="right" w:leader="dot" w:pos="9062"/>
            </w:tabs>
            <w:rPr>
              <w:rFonts w:asciiTheme="minorHAnsi" w:eastAsiaTheme="minorEastAsia" w:hAnsiTheme="minorHAnsi" w:cstheme="minorBidi"/>
              <w:noProof/>
              <w:sz w:val="24"/>
              <w:szCs w:val="24"/>
              <w:lang w:eastAsia="tr-TR"/>
            </w:rPr>
          </w:pPr>
          <w:hyperlink w:anchor="_Toc209423069" w:history="1">
            <w:r w:rsidRPr="00AC7390">
              <w:rPr>
                <w:rStyle w:val="Kpr"/>
                <w:noProof/>
                <w:lang w:val="en-US" w:eastAsia="tr-TR"/>
              </w:rPr>
              <w:t>Main Purpose and Expected Outcomes/Outputs of the Online Training</w:t>
            </w:r>
            <w:r>
              <w:rPr>
                <w:noProof/>
                <w:webHidden/>
              </w:rPr>
              <w:tab/>
            </w:r>
            <w:r>
              <w:rPr>
                <w:noProof/>
                <w:webHidden/>
              </w:rPr>
              <w:fldChar w:fldCharType="begin"/>
            </w:r>
            <w:r>
              <w:rPr>
                <w:noProof/>
                <w:webHidden/>
              </w:rPr>
              <w:instrText xml:space="preserve"> PAGEREF _Toc209423069 \h </w:instrText>
            </w:r>
            <w:r>
              <w:rPr>
                <w:noProof/>
                <w:webHidden/>
              </w:rPr>
            </w:r>
            <w:r>
              <w:rPr>
                <w:noProof/>
                <w:webHidden/>
              </w:rPr>
              <w:fldChar w:fldCharType="separate"/>
            </w:r>
            <w:r>
              <w:rPr>
                <w:noProof/>
                <w:webHidden/>
              </w:rPr>
              <w:t>3</w:t>
            </w:r>
            <w:r>
              <w:rPr>
                <w:noProof/>
                <w:webHidden/>
              </w:rPr>
              <w:fldChar w:fldCharType="end"/>
            </w:r>
          </w:hyperlink>
        </w:p>
        <w:p w14:paraId="7A31DA5F" w14:textId="204CCFF5" w:rsidR="004B4084" w:rsidRDefault="004B4084">
          <w:pPr>
            <w:pStyle w:val="T1"/>
            <w:tabs>
              <w:tab w:val="right" w:leader="dot" w:pos="9062"/>
            </w:tabs>
            <w:rPr>
              <w:rFonts w:asciiTheme="minorHAnsi" w:eastAsiaTheme="minorEastAsia" w:hAnsiTheme="minorHAnsi" w:cstheme="minorBidi"/>
              <w:noProof/>
              <w:sz w:val="24"/>
              <w:szCs w:val="24"/>
              <w:lang w:eastAsia="tr-TR"/>
            </w:rPr>
          </w:pPr>
          <w:hyperlink w:anchor="_Toc209423070" w:history="1">
            <w:r w:rsidRPr="00AC7390">
              <w:rPr>
                <w:rStyle w:val="Kpr"/>
                <w:noProof/>
                <w:lang w:val="en-US" w:eastAsia="tr-TR"/>
              </w:rPr>
              <w:t>Key Expected Training Outputs</w:t>
            </w:r>
            <w:r>
              <w:rPr>
                <w:noProof/>
                <w:webHidden/>
              </w:rPr>
              <w:tab/>
            </w:r>
            <w:r>
              <w:rPr>
                <w:noProof/>
                <w:webHidden/>
              </w:rPr>
              <w:fldChar w:fldCharType="begin"/>
            </w:r>
            <w:r>
              <w:rPr>
                <w:noProof/>
                <w:webHidden/>
              </w:rPr>
              <w:instrText xml:space="preserve"> PAGEREF _Toc209423070 \h </w:instrText>
            </w:r>
            <w:r>
              <w:rPr>
                <w:noProof/>
                <w:webHidden/>
              </w:rPr>
            </w:r>
            <w:r>
              <w:rPr>
                <w:noProof/>
                <w:webHidden/>
              </w:rPr>
              <w:fldChar w:fldCharType="separate"/>
            </w:r>
            <w:r>
              <w:rPr>
                <w:noProof/>
                <w:webHidden/>
              </w:rPr>
              <w:t>4</w:t>
            </w:r>
            <w:r>
              <w:rPr>
                <w:noProof/>
                <w:webHidden/>
              </w:rPr>
              <w:fldChar w:fldCharType="end"/>
            </w:r>
          </w:hyperlink>
        </w:p>
        <w:p w14:paraId="65936B1E" w14:textId="57D5BC7A" w:rsidR="004B4084" w:rsidRDefault="004B4084">
          <w:pPr>
            <w:pStyle w:val="T1"/>
            <w:tabs>
              <w:tab w:val="right" w:leader="dot" w:pos="9062"/>
            </w:tabs>
            <w:rPr>
              <w:rFonts w:asciiTheme="minorHAnsi" w:eastAsiaTheme="minorEastAsia" w:hAnsiTheme="minorHAnsi" w:cstheme="minorBidi"/>
              <w:noProof/>
              <w:sz w:val="24"/>
              <w:szCs w:val="24"/>
              <w:lang w:eastAsia="tr-TR"/>
            </w:rPr>
          </w:pPr>
          <w:hyperlink w:anchor="_Toc209423071" w:history="1">
            <w:r w:rsidRPr="00AC7390">
              <w:rPr>
                <w:rStyle w:val="Kpr"/>
                <w:noProof/>
                <w:lang w:val="en-US" w:eastAsia="tr-TR"/>
              </w:rPr>
              <w:t>Attendance of the Online Training</w:t>
            </w:r>
            <w:r>
              <w:rPr>
                <w:noProof/>
                <w:webHidden/>
              </w:rPr>
              <w:tab/>
            </w:r>
            <w:r>
              <w:rPr>
                <w:noProof/>
                <w:webHidden/>
              </w:rPr>
              <w:fldChar w:fldCharType="begin"/>
            </w:r>
            <w:r>
              <w:rPr>
                <w:noProof/>
                <w:webHidden/>
              </w:rPr>
              <w:instrText xml:space="preserve"> PAGEREF _Toc209423071 \h </w:instrText>
            </w:r>
            <w:r>
              <w:rPr>
                <w:noProof/>
                <w:webHidden/>
              </w:rPr>
            </w:r>
            <w:r>
              <w:rPr>
                <w:noProof/>
                <w:webHidden/>
              </w:rPr>
              <w:fldChar w:fldCharType="separate"/>
            </w:r>
            <w:r>
              <w:rPr>
                <w:noProof/>
                <w:webHidden/>
              </w:rPr>
              <w:t>5</w:t>
            </w:r>
            <w:r>
              <w:rPr>
                <w:noProof/>
                <w:webHidden/>
              </w:rPr>
              <w:fldChar w:fldCharType="end"/>
            </w:r>
          </w:hyperlink>
        </w:p>
        <w:p w14:paraId="63813A6F" w14:textId="1F241D5D" w:rsidR="004B4084" w:rsidRDefault="004B4084">
          <w:pPr>
            <w:pStyle w:val="T1"/>
            <w:tabs>
              <w:tab w:val="right" w:leader="dot" w:pos="9062"/>
            </w:tabs>
            <w:rPr>
              <w:rFonts w:asciiTheme="minorHAnsi" w:eastAsiaTheme="minorEastAsia" w:hAnsiTheme="minorHAnsi" w:cstheme="minorBidi"/>
              <w:noProof/>
              <w:sz w:val="24"/>
              <w:szCs w:val="24"/>
              <w:lang w:eastAsia="tr-TR"/>
            </w:rPr>
          </w:pPr>
          <w:hyperlink w:anchor="_Toc209423072" w:history="1">
            <w:r w:rsidRPr="00AC7390">
              <w:rPr>
                <w:rStyle w:val="Kpr"/>
                <w:noProof/>
                <w:lang w:val="en-US" w:eastAsia="tr-TR"/>
              </w:rPr>
              <w:t>Draft Agenda for the Online Training</w:t>
            </w:r>
            <w:r>
              <w:rPr>
                <w:noProof/>
                <w:webHidden/>
              </w:rPr>
              <w:tab/>
            </w:r>
            <w:r>
              <w:rPr>
                <w:noProof/>
                <w:webHidden/>
              </w:rPr>
              <w:fldChar w:fldCharType="begin"/>
            </w:r>
            <w:r>
              <w:rPr>
                <w:noProof/>
                <w:webHidden/>
              </w:rPr>
              <w:instrText xml:space="preserve"> PAGEREF _Toc209423072 \h </w:instrText>
            </w:r>
            <w:r>
              <w:rPr>
                <w:noProof/>
                <w:webHidden/>
              </w:rPr>
            </w:r>
            <w:r>
              <w:rPr>
                <w:noProof/>
                <w:webHidden/>
              </w:rPr>
              <w:fldChar w:fldCharType="separate"/>
            </w:r>
            <w:r>
              <w:rPr>
                <w:noProof/>
                <w:webHidden/>
              </w:rPr>
              <w:t>6</w:t>
            </w:r>
            <w:r>
              <w:rPr>
                <w:noProof/>
                <w:webHidden/>
              </w:rPr>
              <w:fldChar w:fldCharType="end"/>
            </w:r>
          </w:hyperlink>
        </w:p>
        <w:p w14:paraId="734D0D2D" w14:textId="6FAB9AAC" w:rsidR="00737950" w:rsidRPr="00BD06C1" w:rsidRDefault="00737950">
          <w:pPr>
            <w:rPr>
              <w:rFonts w:asciiTheme="majorHAnsi" w:hAnsiTheme="majorHAnsi" w:cstheme="majorHAnsi"/>
              <w:sz w:val="22"/>
              <w:szCs w:val="22"/>
              <w:lang w:val="en-US"/>
            </w:rPr>
          </w:pPr>
          <w:r w:rsidRPr="00BD06C1">
            <w:rPr>
              <w:rFonts w:asciiTheme="majorHAnsi" w:hAnsiTheme="majorHAnsi" w:cstheme="majorHAnsi"/>
              <w:b/>
              <w:bCs/>
              <w:sz w:val="22"/>
              <w:szCs w:val="22"/>
              <w:lang w:val="en-US"/>
            </w:rPr>
            <w:fldChar w:fldCharType="end"/>
          </w:r>
        </w:p>
      </w:sdtContent>
    </w:sdt>
    <w:p w14:paraId="5ED97654" w14:textId="77777777" w:rsidR="00737950" w:rsidRPr="00BD06C1" w:rsidRDefault="00737950" w:rsidP="007805AC">
      <w:pPr>
        <w:ind w:left="708"/>
        <w:jc w:val="center"/>
        <w:rPr>
          <w:rFonts w:asciiTheme="majorHAnsi" w:hAnsiTheme="majorHAnsi" w:cstheme="majorHAnsi"/>
          <w:sz w:val="22"/>
          <w:szCs w:val="22"/>
          <w:lang w:val="en-US"/>
        </w:rPr>
      </w:pPr>
    </w:p>
    <w:p w14:paraId="48BCCBC4" w14:textId="77777777" w:rsidR="00737950" w:rsidRPr="00BD06C1" w:rsidRDefault="00737950" w:rsidP="007805AC">
      <w:pPr>
        <w:ind w:left="708"/>
        <w:jc w:val="center"/>
        <w:rPr>
          <w:rFonts w:asciiTheme="majorHAnsi" w:hAnsiTheme="majorHAnsi" w:cstheme="majorHAnsi"/>
          <w:sz w:val="22"/>
          <w:szCs w:val="22"/>
          <w:lang w:val="en-US"/>
        </w:rPr>
      </w:pPr>
    </w:p>
    <w:p w14:paraId="6562753A" w14:textId="58F4D40A" w:rsidR="00BD06C1" w:rsidRPr="00BD06C1" w:rsidRDefault="00BD06C1">
      <w:pPr>
        <w:rPr>
          <w:rFonts w:asciiTheme="majorHAnsi" w:eastAsiaTheme="majorEastAsia" w:hAnsiTheme="majorHAnsi" w:cstheme="majorHAnsi"/>
          <w:color w:val="2F5496" w:themeColor="accent1" w:themeShade="BF"/>
          <w:sz w:val="22"/>
          <w:szCs w:val="22"/>
          <w:lang w:val="en-US"/>
        </w:rPr>
      </w:pPr>
      <w:r w:rsidRPr="00BD06C1">
        <w:rPr>
          <w:rFonts w:asciiTheme="majorHAnsi" w:hAnsiTheme="majorHAnsi" w:cstheme="majorHAnsi"/>
          <w:sz w:val="22"/>
          <w:szCs w:val="22"/>
          <w:lang w:val="en-US"/>
        </w:rPr>
        <w:br w:type="page"/>
      </w:r>
    </w:p>
    <w:p w14:paraId="513C409B" w14:textId="77777777" w:rsidR="00BD06C1" w:rsidRPr="00BD06C1" w:rsidRDefault="00BD06C1" w:rsidP="00BD06C1">
      <w:pPr>
        <w:pStyle w:val="Balk1"/>
        <w:jc w:val="both"/>
        <w:rPr>
          <w:sz w:val="32"/>
          <w:szCs w:val="32"/>
          <w:lang w:val="en-US" w:eastAsia="tr-TR"/>
        </w:rPr>
      </w:pPr>
      <w:bookmarkStart w:id="0" w:name="_Toc209423068"/>
      <w:r w:rsidRPr="00BD06C1">
        <w:rPr>
          <w:sz w:val="32"/>
          <w:szCs w:val="32"/>
          <w:lang w:val="en-US" w:eastAsia="tr-TR"/>
        </w:rPr>
        <w:lastRenderedPageBreak/>
        <w:t>Background</w:t>
      </w:r>
      <w:bookmarkEnd w:id="0"/>
    </w:p>
    <w:p w14:paraId="0F875BCB"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Non-Wood Forest Products (NWFPs) play a vital role in the livelihoods of rural communities across Southeastern Europe, Central Asia, and the Caucasus. These products – including medicinal and aromatic plants, mushrooms, nuts, and other non-timber goods – contribute significantly to household incomes, food security, and the preservation of traditional knowledge. However, many of these products are currently harvested and marketed in ways that limit their potential to create sustainable economic benefits.</w:t>
      </w:r>
    </w:p>
    <w:p w14:paraId="56D93A49"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 xml:space="preserve">Recognizing the need to improve value chain development and market access for NWFPs, the Food and Agriculture Organization of the United Nations (FAO) has partnered with the Chamber of Forest Engineers of Türkiye (OMO) under a Letter of Agreement signed on 29 August 2024. The collaboration aimed to develop and implement </w:t>
      </w:r>
      <w:r w:rsidRPr="00BD06C1">
        <w:rPr>
          <w:rFonts w:asciiTheme="majorHAnsi" w:eastAsia="Times New Roman" w:hAnsiTheme="majorHAnsi" w:cstheme="majorHAnsi"/>
          <w:b/>
          <w:bCs/>
          <w:kern w:val="0"/>
          <w:sz w:val="22"/>
          <w:szCs w:val="22"/>
          <w:lang w:val="en-US" w:eastAsia="tr-TR"/>
          <w14:ligatures w14:val="none"/>
        </w:rPr>
        <w:t>Regional Guidelines – Value Chain Development and Market Access for Non-Wood Forest Products in Southeastern Europe, Central Asia, and the Caucasus</w:t>
      </w:r>
      <w:r w:rsidRPr="00BD06C1">
        <w:rPr>
          <w:rFonts w:asciiTheme="majorHAnsi" w:eastAsia="Times New Roman" w:hAnsiTheme="majorHAnsi" w:cstheme="majorHAnsi"/>
          <w:kern w:val="0"/>
          <w:sz w:val="22"/>
          <w:szCs w:val="22"/>
          <w:lang w:val="en-US" w:eastAsia="tr-TR"/>
          <w14:ligatures w14:val="none"/>
        </w:rPr>
        <w:t xml:space="preserve"> to support sustainable forest management and rural development in the target region.</w:t>
      </w:r>
    </w:p>
    <w:p w14:paraId="669DDD8E"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Building on this agreement, a structured process was launched to strengthen the capacity of countries in Southeastern Europe, Central Asia, and the Caucasus to develop sustainable and competitive NWFP value chains. The initiative was designed around three major outputs: a Regional Capacity Building Workshop, the development of Regional Guidelines, and an Online Training to achieve the envisaged capacity building strengthening.</w:t>
      </w:r>
    </w:p>
    <w:p w14:paraId="14AEBC35" w14:textId="77777777" w:rsid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 xml:space="preserve">The implementation started with the Regional Capacity Building Workshop, which was successfully held on 7–12 October 2024 at the Fethiye Forest Enterprise Directorate (Fethiye Orman </w:t>
      </w:r>
      <w:proofErr w:type="spellStart"/>
      <w:r w:rsidRPr="00BD06C1">
        <w:rPr>
          <w:rFonts w:asciiTheme="majorHAnsi" w:eastAsia="Times New Roman" w:hAnsiTheme="majorHAnsi" w:cstheme="majorHAnsi"/>
          <w:kern w:val="0"/>
          <w:sz w:val="22"/>
          <w:szCs w:val="22"/>
          <w:lang w:val="en-US" w:eastAsia="tr-TR"/>
          <w14:ligatures w14:val="none"/>
        </w:rPr>
        <w:t>İşletme</w:t>
      </w:r>
      <w:proofErr w:type="spellEnd"/>
      <w:r w:rsidRPr="00BD06C1">
        <w:rPr>
          <w:rFonts w:asciiTheme="majorHAnsi" w:eastAsia="Times New Roman" w:hAnsiTheme="majorHAnsi" w:cstheme="majorHAnsi"/>
          <w:kern w:val="0"/>
          <w:sz w:val="22"/>
          <w:szCs w:val="22"/>
          <w:lang w:val="en-US" w:eastAsia="tr-TR"/>
          <w14:ligatures w14:val="none"/>
        </w:rPr>
        <w:t xml:space="preserve"> </w:t>
      </w:r>
      <w:proofErr w:type="spellStart"/>
      <w:r w:rsidRPr="00BD06C1">
        <w:rPr>
          <w:rFonts w:asciiTheme="majorHAnsi" w:eastAsia="Times New Roman" w:hAnsiTheme="majorHAnsi" w:cstheme="majorHAnsi"/>
          <w:kern w:val="0"/>
          <w:sz w:val="22"/>
          <w:szCs w:val="22"/>
          <w:lang w:val="en-US" w:eastAsia="tr-TR"/>
          <w14:ligatures w14:val="none"/>
        </w:rPr>
        <w:t>Müdürlüğü</w:t>
      </w:r>
      <w:proofErr w:type="spellEnd"/>
      <w:r w:rsidRPr="00BD06C1">
        <w:rPr>
          <w:rFonts w:asciiTheme="majorHAnsi" w:eastAsia="Times New Roman" w:hAnsiTheme="majorHAnsi" w:cstheme="majorHAnsi"/>
          <w:kern w:val="0"/>
          <w:sz w:val="22"/>
          <w:szCs w:val="22"/>
          <w:lang w:val="en-US" w:eastAsia="tr-TR"/>
          <w14:ligatures w14:val="none"/>
        </w:rPr>
        <w:t xml:space="preserve">) in Fethiye, </w:t>
      </w:r>
      <w:proofErr w:type="spellStart"/>
      <w:r w:rsidRPr="00BD06C1">
        <w:rPr>
          <w:rFonts w:asciiTheme="majorHAnsi" w:eastAsia="Times New Roman" w:hAnsiTheme="majorHAnsi" w:cstheme="majorHAnsi"/>
          <w:kern w:val="0"/>
          <w:sz w:val="22"/>
          <w:szCs w:val="22"/>
          <w:lang w:val="en-US" w:eastAsia="tr-TR"/>
          <w14:ligatures w14:val="none"/>
        </w:rPr>
        <w:t>Muğla</w:t>
      </w:r>
      <w:proofErr w:type="spellEnd"/>
      <w:r w:rsidRPr="00BD06C1">
        <w:rPr>
          <w:rFonts w:asciiTheme="majorHAnsi" w:eastAsia="Times New Roman" w:hAnsiTheme="majorHAnsi" w:cstheme="majorHAnsi"/>
          <w:kern w:val="0"/>
          <w:sz w:val="22"/>
          <w:szCs w:val="22"/>
          <w:lang w:val="en-US" w:eastAsia="tr-TR"/>
          <w14:ligatures w14:val="none"/>
        </w:rPr>
        <w:t xml:space="preserve">, Türkiye. The event brought together representatives from 15 countries, along with FAO experts, to exchange knowledge and experiences. </w:t>
      </w:r>
    </w:p>
    <w:p w14:paraId="51498506" w14:textId="7116D9CF"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 xml:space="preserve">The workshop created a collaborative platform to assess the current status of NWFP value chains in each country, identify challenges and opportunities, and determine the technical support needs. Participants also helped to define the structure and scope of the Regional Guidelines by sharing valuable insights. The audience included government officials, academia, NGOs, local communities, development partners, and private sector representatives. The report on the </w:t>
      </w:r>
      <w:r w:rsidRPr="00BD06C1">
        <w:rPr>
          <w:rFonts w:asciiTheme="majorHAnsi" w:eastAsia="Times New Roman" w:hAnsiTheme="majorHAnsi" w:cstheme="majorHAnsi"/>
          <w:b/>
          <w:bCs/>
          <w:kern w:val="0"/>
          <w:sz w:val="22"/>
          <w:szCs w:val="22"/>
          <w:lang w:val="en-US" w:eastAsia="tr-TR"/>
          <w14:ligatures w14:val="none"/>
        </w:rPr>
        <w:t>“Regional Workshop on NWFPs in Eastern Europe, Central Asia and the Caucasus”</w:t>
      </w:r>
      <w:r w:rsidRPr="00BD06C1">
        <w:rPr>
          <w:rFonts w:asciiTheme="majorHAnsi" w:eastAsia="Times New Roman" w:hAnsiTheme="majorHAnsi" w:cstheme="majorHAnsi"/>
          <w:kern w:val="0"/>
          <w:sz w:val="22"/>
          <w:szCs w:val="22"/>
          <w:lang w:val="en-US" w:eastAsia="tr-TR"/>
          <w14:ligatures w14:val="none"/>
        </w:rPr>
        <w:t xml:space="preserve"> was cleared by FAO on 13 November 2024.</w:t>
      </w:r>
    </w:p>
    <w:p w14:paraId="0C811B5D"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 xml:space="preserve">Following the workshop, OMO, in close collaboration with FAO and participating countries, prepared the </w:t>
      </w:r>
      <w:r w:rsidRPr="00BD06C1">
        <w:rPr>
          <w:rFonts w:asciiTheme="majorHAnsi" w:eastAsia="Times New Roman" w:hAnsiTheme="majorHAnsi" w:cstheme="majorHAnsi"/>
          <w:b/>
          <w:bCs/>
          <w:kern w:val="0"/>
          <w:sz w:val="22"/>
          <w:szCs w:val="22"/>
          <w:lang w:val="en-US" w:eastAsia="tr-TR"/>
          <w14:ligatures w14:val="none"/>
        </w:rPr>
        <w:t>Stocktaking Report</w:t>
      </w:r>
      <w:r w:rsidRPr="00BD06C1">
        <w:rPr>
          <w:rFonts w:asciiTheme="majorHAnsi" w:eastAsia="Times New Roman" w:hAnsiTheme="majorHAnsi" w:cstheme="majorHAnsi"/>
          <w:kern w:val="0"/>
          <w:sz w:val="22"/>
          <w:szCs w:val="22"/>
          <w:lang w:val="en-US" w:eastAsia="tr-TR"/>
          <w14:ligatures w14:val="none"/>
        </w:rPr>
        <w:t>. This report was developed through a comprehensive literature review and analysis of regional and global best practices. It integrated the outcomes of the Fethiye workshop and additional consultations with beneficiary countries and FAO technical teams. The Stocktaking Report included a SWOT analysis, recommendations for adapting best practices to local contexts, and an overview of certification schemes to enhance the sustainability and competitiveness of NWFP value chains.</w:t>
      </w:r>
    </w:p>
    <w:p w14:paraId="50036CA4" w14:textId="77777777" w:rsidR="00BD06C1" w:rsidRPr="00BD06C1" w:rsidRDefault="00BD06C1" w:rsidP="00BD06C1">
      <w:pPr>
        <w:numPr>
          <w:ilvl w:val="0"/>
          <w:numId w:val="12"/>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 draft Stocktaking Report was shared with countries for review between November 2024 and January 2025 through online meetings and bilateral exchanges.</w:t>
      </w:r>
    </w:p>
    <w:p w14:paraId="2E6BAFB6" w14:textId="77777777" w:rsidR="00BD06C1" w:rsidRPr="00BD06C1" w:rsidRDefault="00BD06C1" w:rsidP="00BD06C1">
      <w:pPr>
        <w:numPr>
          <w:ilvl w:val="0"/>
          <w:numId w:val="12"/>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After revisions and joint validation with FAO and the 15 participating countries, the final version of the Stocktaking Report was approved by FAO on 3 February 2025.</w:t>
      </w:r>
    </w:p>
    <w:p w14:paraId="7440B4AD"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 xml:space="preserve">Using the insights and data gathered from the Stocktaking Report, OMO, in line with FAO’s technical guidance, developed the </w:t>
      </w:r>
      <w:r w:rsidRPr="00BD06C1">
        <w:rPr>
          <w:rFonts w:asciiTheme="majorHAnsi" w:eastAsia="Times New Roman" w:hAnsiTheme="majorHAnsi" w:cstheme="majorHAnsi"/>
          <w:b/>
          <w:bCs/>
          <w:kern w:val="0"/>
          <w:sz w:val="22"/>
          <w:szCs w:val="22"/>
          <w:lang w:val="en-US" w:eastAsia="tr-TR"/>
          <w14:ligatures w14:val="none"/>
        </w:rPr>
        <w:t>Draft Regional Guidelines – Value Chain Development and Market Access for Non-Wood Forest Products</w:t>
      </w:r>
      <w:r w:rsidRPr="00BD06C1">
        <w:rPr>
          <w:rFonts w:asciiTheme="majorHAnsi" w:eastAsia="Times New Roman" w:hAnsiTheme="majorHAnsi" w:cstheme="majorHAnsi"/>
          <w:kern w:val="0"/>
          <w:sz w:val="22"/>
          <w:szCs w:val="22"/>
          <w:lang w:val="en-US" w:eastAsia="tr-TR"/>
          <w14:ligatures w14:val="none"/>
        </w:rPr>
        <w:t xml:space="preserve"> in Southeastern Europe, Central Asia, and the Caucasus. The Guidelines covered all stages of the value chain — from production and processing to marketing — and included </w:t>
      </w:r>
      <w:r w:rsidRPr="00BD06C1">
        <w:rPr>
          <w:rFonts w:asciiTheme="majorHAnsi" w:eastAsia="Times New Roman" w:hAnsiTheme="majorHAnsi" w:cstheme="majorHAnsi"/>
          <w:kern w:val="0"/>
          <w:sz w:val="22"/>
          <w:szCs w:val="22"/>
          <w:lang w:val="en-US" w:eastAsia="tr-TR"/>
          <w14:ligatures w14:val="none"/>
        </w:rPr>
        <w:lastRenderedPageBreak/>
        <w:t xml:space="preserve">recommendations on access to finance, stakeholder mapping, certification schemes, and strategies to increase competitiveness. The Guidelines showcased </w:t>
      </w:r>
      <w:r w:rsidRPr="00BD06C1">
        <w:rPr>
          <w:rFonts w:asciiTheme="majorHAnsi" w:eastAsia="Times New Roman" w:hAnsiTheme="majorHAnsi" w:cstheme="majorHAnsi"/>
          <w:b/>
          <w:bCs/>
          <w:kern w:val="0"/>
          <w:sz w:val="22"/>
          <w:szCs w:val="22"/>
          <w:lang w:val="en-US" w:eastAsia="tr-TR"/>
          <w14:ligatures w14:val="none"/>
        </w:rPr>
        <w:t>seven comprehensive case studies</w:t>
      </w:r>
      <w:r w:rsidRPr="00BD06C1">
        <w:rPr>
          <w:rFonts w:asciiTheme="majorHAnsi" w:eastAsia="Times New Roman" w:hAnsiTheme="majorHAnsi" w:cstheme="majorHAnsi"/>
          <w:kern w:val="0"/>
          <w:sz w:val="22"/>
          <w:szCs w:val="22"/>
          <w:lang w:val="en-US" w:eastAsia="tr-TR"/>
          <w14:ligatures w14:val="none"/>
        </w:rPr>
        <w:t xml:space="preserve"> on global and regional best practices for NWFP value chain development.</w:t>
      </w:r>
    </w:p>
    <w:p w14:paraId="71604FB3" w14:textId="77777777" w:rsidR="00BD06C1" w:rsidRPr="00BD06C1" w:rsidRDefault="00BD06C1" w:rsidP="00BD06C1">
      <w:pPr>
        <w:numPr>
          <w:ilvl w:val="0"/>
          <w:numId w:val="13"/>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 global case studies examined and assessed adaptability of the following products to the region:</w:t>
      </w:r>
    </w:p>
    <w:p w14:paraId="16DE73CD" w14:textId="77777777" w:rsidR="00BD06C1" w:rsidRPr="00BD06C1" w:rsidRDefault="00BD06C1" w:rsidP="00BD06C1">
      <w:pPr>
        <w:numPr>
          <w:ilvl w:val="1"/>
          <w:numId w:val="13"/>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Carob (</w:t>
      </w:r>
      <w:proofErr w:type="spellStart"/>
      <w:r w:rsidRPr="00BD06C1">
        <w:rPr>
          <w:rFonts w:asciiTheme="majorHAnsi" w:eastAsia="Times New Roman" w:hAnsiTheme="majorHAnsi" w:cstheme="majorHAnsi"/>
          <w:kern w:val="0"/>
          <w:sz w:val="22"/>
          <w:szCs w:val="22"/>
          <w:lang w:val="en-US" w:eastAsia="tr-TR"/>
          <w14:ligatures w14:val="none"/>
        </w:rPr>
        <w:t>keçiboynuzu</w:t>
      </w:r>
      <w:proofErr w:type="spellEnd"/>
      <w:r w:rsidRPr="00BD06C1">
        <w:rPr>
          <w:rFonts w:asciiTheme="majorHAnsi" w:eastAsia="Times New Roman" w:hAnsiTheme="majorHAnsi" w:cstheme="majorHAnsi"/>
          <w:kern w:val="0"/>
          <w:sz w:val="22"/>
          <w:szCs w:val="22"/>
          <w:lang w:val="en-US" w:eastAsia="tr-TR"/>
          <w14:ligatures w14:val="none"/>
        </w:rPr>
        <w:t>) value chain analysis in Türkiye,</w:t>
      </w:r>
    </w:p>
    <w:p w14:paraId="6F0D36FE" w14:textId="77777777" w:rsidR="00BD06C1" w:rsidRPr="00BD06C1" w:rsidRDefault="00BD06C1" w:rsidP="00BD06C1">
      <w:pPr>
        <w:numPr>
          <w:ilvl w:val="1"/>
          <w:numId w:val="13"/>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Honey value chain analysis in Lebanon,</w:t>
      </w:r>
    </w:p>
    <w:p w14:paraId="69039EF7" w14:textId="77777777" w:rsidR="00BD06C1" w:rsidRPr="00BD06C1" w:rsidRDefault="00BD06C1" w:rsidP="00BD06C1">
      <w:pPr>
        <w:numPr>
          <w:ilvl w:val="1"/>
          <w:numId w:val="13"/>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Gum Arabic value chain analysis in Sudan.</w:t>
      </w:r>
    </w:p>
    <w:p w14:paraId="4AF64AC3" w14:textId="77777777" w:rsidR="00BD06C1" w:rsidRPr="00BD06C1" w:rsidRDefault="00BD06C1" w:rsidP="00BD06C1">
      <w:pPr>
        <w:numPr>
          <w:ilvl w:val="0"/>
          <w:numId w:val="13"/>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 regional case studies highlighted products that are widely harvested and traded in Southeastern Europe, Central Asia, and the Caucasus, including:</w:t>
      </w:r>
    </w:p>
    <w:p w14:paraId="659EFD4B" w14:textId="77777777" w:rsidR="00BD06C1" w:rsidRPr="00BD06C1" w:rsidRDefault="00BD06C1" w:rsidP="00BD06C1">
      <w:pPr>
        <w:numPr>
          <w:ilvl w:val="1"/>
          <w:numId w:val="13"/>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Chestnut value chain analysis in Albania,</w:t>
      </w:r>
    </w:p>
    <w:p w14:paraId="1F681A03" w14:textId="77777777" w:rsidR="00BD06C1" w:rsidRPr="00BD06C1" w:rsidRDefault="00BD06C1" w:rsidP="00BD06C1">
      <w:pPr>
        <w:numPr>
          <w:ilvl w:val="1"/>
          <w:numId w:val="13"/>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Bee products (honey, wax, propolis, etc.) across Europe, the Caucasus, and Central Asia,</w:t>
      </w:r>
    </w:p>
    <w:p w14:paraId="77BAB0EA" w14:textId="77777777" w:rsidR="00BD06C1" w:rsidRPr="00BD06C1" w:rsidRDefault="00BD06C1" w:rsidP="00BD06C1">
      <w:pPr>
        <w:numPr>
          <w:ilvl w:val="1"/>
          <w:numId w:val="13"/>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Walnut value chain analysis in Central Asia,</w:t>
      </w:r>
    </w:p>
    <w:p w14:paraId="5021FA51" w14:textId="77777777" w:rsidR="00BD06C1" w:rsidRPr="00BD06C1" w:rsidRDefault="00BD06C1" w:rsidP="00BD06C1">
      <w:pPr>
        <w:numPr>
          <w:ilvl w:val="1"/>
          <w:numId w:val="13"/>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Porcini mushrooms value chain analysis in Europe, Central Asia, and the Caucasus.</w:t>
      </w:r>
    </w:p>
    <w:p w14:paraId="428CD243" w14:textId="6D225D1D"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 xml:space="preserve">During the preparation for the online training, it was decided to </w:t>
      </w:r>
      <w:r w:rsidRPr="00BD06C1">
        <w:rPr>
          <w:rFonts w:asciiTheme="majorHAnsi" w:eastAsia="Times New Roman" w:hAnsiTheme="majorHAnsi" w:cstheme="majorHAnsi"/>
          <w:b/>
          <w:bCs/>
          <w:i/>
          <w:iCs/>
          <w:kern w:val="0"/>
          <w:sz w:val="22"/>
          <w:szCs w:val="22"/>
          <w:lang w:val="en-US" w:eastAsia="tr-TR"/>
          <w14:ligatures w14:val="none"/>
        </w:rPr>
        <w:t>merge the “Honey” and “Bee Products” case studies</w:t>
      </w:r>
      <w:r w:rsidRPr="00BD06C1">
        <w:rPr>
          <w:rFonts w:asciiTheme="majorHAnsi" w:eastAsia="Times New Roman" w:hAnsiTheme="majorHAnsi" w:cstheme="majorHAnsi"/>
          <w:i/>
          <w:iCs/>
          <w:kern w:val="0"/>
          <w:sz w:val="22"/>
          <w:szCs w:val="22"/>
          <w:lang w:val="en-US" w:eastAsia="tr-TR"/>
          <w14:ligatures w14:val="none"/>
        </w:rPr>
        <w:t xml:space="preserve"> under a single topic to streamline the content and avoid overlap. Furthermore, the </w:t>
      </w:r>
      <w:r w:rsidRPr="00BD06C1">
        <w:rPr>
          <w:rFonts w:asciiTheme="majorHAnsi" w:eastAsia="Times New Roman" w:hAnsiTheme="majorHAnsi" w:cstheme="majorHAnsi"/>
          <w:b/>
          <w:bCs/>
          <w:i/>
          <w:iCs/>
          <w:kern w:val="0"/>
          <w:sz w:val="22"/>
          <w:szCs w:val="22"/>
          <w:lang w:val="en-US" w:eastAsia="tr-TR"/>
          <w14:ligatures w14:val="none"/>
        </w:rPr>
        <w:t>Gum Arabic case study was removed</w:t>
      </w:r>
      <w:r w:rsidRPr="00BD06C1">
        <w:rPr>
          <w:rFonts w:asciiTheme="majorHAnsi" w:eastAsia="Times New Roman" w:hAnsiTheme="majorHAnsi" w:cstheme="majorHAnsi"/>
          <w:i/>
          <w:iCs/>
          <w:kern w:val="0"/>
          <w:sz w:val="22"/>
          <w:szCs w:val="22"/>
          <w:lang w:val="en-US" w:eastAsia="tr-TR"/>
          <w14:ligatures w14:val="none"/>
        </w:rPr>
        <w:t xml:space="preserve">, as there is no direct regional applicability for this product within the </w:t>
      </w:r>
      <w:r w:rsidR="00DD7094" w:rsidRPr="00DD7094">
        <w:rPr>
          <w:rFonts w:asciiTheme="majorHAnsi" w:eastAsia="Times New Roman" w:hAnsiTheme="majorHAnsi" w:cstheme="majorHAnsi"/>
          <w:i/>
          <w:iCs/>
          <w:kern w:val="0"/>
          <w:sz w:val="22"/>
          <w:szCs w:val="22"/>
          <w:lang w:val="en-US" w:eastAsia="tr-TR"/>
          <w14:ligatures w14:val="none"/>
        </w:rPr>
        <w:t>Southeastern Europe, Central Asia, and the Caucasus</w:t>
      </w:r>
      <w:r w:rsidRPr="00BD06C1">
        <w:rPr>
          <w:rFonts w:asciiTheme="majorHAnsi" w:eastAsia="Times New Roman" w:hAnsiTheme="majorHAnsi" w:cstheme="majorHAnsi"/>
          <w:i/>
          <w:iCs/>
          <w:kern w:val="0"/>
          <w:sz w:val="22"/>
          <w:szCs w:val="22"/>
          <w:lang w:val="en-US" w:eastAsia="tr-TR"/>
          <w14:ligatures w14:val="none"/>
        </w:rPr>
        <w:t xml:space="preserve"> countries. As a result, the online training program was </w:t>
      </w:r>
      <w:r w:rsidRPr="00BD06C1">
        <w:rPr>
          <w:rFonts w:asciiTheme="majorHAnsi" w:eastAsia="Times New Roman" w:hAnsiTheme="majorHAnsi" w:cstheme="majorHAnsi"/>
          <w:b/>
          <w:bCs/>
          <w:i/>
          <w:iCs/>
          <w:kern w:val="0"/>
          <w:sz w:val="22"/>
          <w:szCs w:val="22"/>
          <w:lang w:val="en-US" w:eastAsia="tr-TR"/>
          <w14:ligatures w14:val="none"/>
        </w:rPr>
        <w:t>finalized with five key products</w:t>
      </w:r>
      <w:r w:rsidRPr="00BD06C1">
        <w:rPr>
          <w:rFonts w:asciiTheme="majorHAnsi" w:eastAsia="Times New Roman" w:hAnsiTheme="majorHAnsi" w:cstheme="majorHAnsi"/>
          <w:i/>
          <w:iCs/>
          <w:kern w:val="0"/>
          <w:sz w:val="22"/>
          <w:szCs w:val="22"/>
          <w:lang w:val="en-US" w:eastAsia="tr-TR"/>
          <w14:ligatures w14:val="none"/>
        </w:rPr>
        <w:t>, namely: Carob, Honey &amp; Bee Products, Chestnut, Walnut, and Porcini Mushrooms. The agenda and training materials were prepared in alignment with this updated structure.</w:t>
      </w:r>
    </w:p>
    <w:p w14:paraId="2F6B3034"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Collectively, these revised case studies form the foundation of the training program and are intended to enhance market access, facilitate value addition, and support the sustainable management of NWFPs within the region.</w:t>
      </w:r>
    </w:p>
    <w:p w14:paraId="3E2508E4"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 draft Regional Guidelines were completed in June 2025 and reviewed in consultation with FAO and the participating countries. The final English and Russian versions of the Guidelines were approved by FAO as of September 2025.</w:t>
      </w:r>
    </w:p>
    <w:p w14:paraId="075C60D0" w14:textId="77777777" w:rsid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 xml:space="preserve">With these foundational steps successfully completed, the collaboration between FAO and OMO has now entered its final phase: the design and delivery of the </w:t>
      </w:r>
      <w:r w:rsidRPr="00BD06C1">
        <w:rPr>
          <w:rFonts w:asciiTheme="majorHAnsi" w:eastAsia="Times New Roman" w:hAnsiTheme="majorHAnsi" w:cstheme="majorHAnsi"/>
          <w:b/>
          <w:bCs/>
          <w:kern w:val="0"/>
          <w:sz w:val="22"/>
          <w:szCs w:val="22"/>
          <w:lang w:val="en-US" w:eastAsia="tr-TR"/>
          <w14:ligatures w14:val="none"/>
        </w:rPr>
        <w:t>Online Training</w:t>
      </w:r>
      <w:r w:rsidRPr="00BD06C1">
        <w:rPr>
          <w:rFonts w:asciiTheme="majorHAnsi" w:eastAsia="Times New Roman" w:hAnsiTheme="majorHAnsi" w:cstheme="majorHAnsi"/>
          <w:kern w:val="0"/>
          <w:sz w:val="22"/>
          <w:szCs w:val="22"/>
          <w:lang w:val="en-US" w:eastAsia="tr-TR"/>
          <w14:ligatures w14:val="none"/>
        </w:rPr>
        <w:t>. The training aims to introduce participants to the application of the Guidelines and equip them with practical tools for implementation in their respective countries. This shall ultimately enhance sustainable forest management, promote rural development, and unlock the economic potential of NWFPs across Southeastern Europe, Central Asia, and the Caucasus.</w:t>
      </w:r>
    </w:p>
    <w:p w14:paraId="2DD2F00A" w14:textId="7DFAB5E5"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 xml:space="preserve">The online training will take place on </w:t>
      </w:r>
      <w:r w:rsidRPr="00BD06C1">
        <w:rPr>
          <w:rFonts w:asciiTheme="majorHAnsi" w:eastAsia="Times New Roman" w:hAnsiTheme="majorHAnsi" w:cstheme="majorHAnsi"/>
          <w:b/>
          <w:bCs/>
          <w:kern w:val="0"/>
          <w:sz w:val="22"/>
          <w:szCs w:val="22"/>
          <w:lang w:val="en-US" w:eastAsia="tr-TR"/>
          <w14:ligatures w14:val="none"/>
        </w:rPr>
        <w:t>Thursday, 25 September 2025</w:t>
      </w:r>
      <w:r w:rsidRPr="00BD06C1">
        <w:rPr>
          <w:rFonts w:asciiTheme="majorHAnsi" w:eastAsia="Times New Roman" w:hAnsiTheme="majorHAnsi" w:cstheme="majorHAnsi"/>
          <w:kern w:val="0"/>
          <w:sz w:val="22"/>
          <w:szCs w:val="22"/>
          <w:lang w:val="en-US" w:eastAsia="tr-TR"/>
          <w14:ligatures w14:val="none"/>
        </w:rPr>
        <w:t>, via the Zoom platform.</w:t>
      </w:r>
    </w:p>
    <w:p w14:paraId="56203B37" w14:textId="77777777" w:rsidR="00BD06C1" w:rsidRPr="00BD06C1" w:rsidRDefault="00BD06C1" w:rsidP="00BD06C1">
      <w:pPr>
        <w:pStyle w:val="Balk1"/>
        <w:jc w:val="both"/>
        <w:rPr>
          <w:sz w:val="32"/>
          <w:szCs w:val="32"/>
          <w:lang w:val="en-US" w:eastAsia="tr-TR"/>
        </w:rPr>
      </w:pPr>
      <w:bookmarkStart w:id="1" w:name="_Toc209423069"/>
      <w:r w:rsidRPr="00BD06C1">
        <w:rPr>
          <w:sz w:val="32"/>
          <w:szCs w:val="32"/>
          <w:lang w:val="en-US" w:eastAsia="tr-TR"/>
        </w:rPr>
        <w:t>Main Purpose and Expected Outcomes/Outputs of the Online Training</w:t>
      </w:r>
      <w:bookmarkEnd w:id="1"/>
    </w:p>
    <w:p w14:paraId="2D8C8C11"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 primary purpose of the training is to introduce the Regional Guidelines – Value Chain Development and Market Access for Non-Wood Forest Products in Southeastern Europe, Central Asia, and the Caucasus, and to build the capacity of government representatives and relevant stakeholders from Southeastern Europe, Central Asia, and the Caucasus. The ultimate training goal is effective application of the Guidelines in the countries of the region.</w:t>
      </w:r>
    </w:p>
    <w:p w14:paraId="03E62EE9"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 training design is based on the following goals to be achieved:</w:t>
      </w:r>
    </w:p>
    <w:p w14:paraId="30A2661B" w14:textId="77777777" w:rsidR="00BD06C1" w:rsidRPr="00BD06C1" w:rsidRDefault="00BD06C1" w:rsidP="00BD06C1">
      <w:pPr>
        <w:numPr>
          <w:ilvl w:val="0"/>
          <w:numId w:val="14"/>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lastRenderedPageBreak/>
        <w:t>Provide overview on the Guidelines, covering all stages of NWFP value chains – from production and processing to marketing and certification.</w:t>
      </w:r>
    </w:p>
    <w:p w14:paraId="6133DBE5" w14:textId="77777777" w:rsidR="00BD06C1" w:rsidRPr="00BD06C1" w:rsidRDefault="00BD06C1" w:rsidP="00BD06C1">
      <w:pPr>
        <w:numPr>
          <w:ilvl w:val="0"/>
          <w:numId w:val="14"/>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 xml:space="preserve">Share regional and global best practices, including lessons learned from </w:t>
      </w:r>
      <w:r w:rsidRPr="00BD06C1">
        <w:rPr>
          <w:rFonts w:asciiTheme="majorHAnsi" w:eastAsia="Times New Roman" w:hAnsiTheme="majorHAnsi" w:cstheme="majorHAnsi"/>
          <w:b/>
          <w:bCs/>
          <w:kern w:val="0"/>
          <w:sz w:val="22"/>
          <w:szCs w:val="22"/>
          <w:lang w:val="en-US" w:eastAsia="tr-TR"/>
          <w14:ligatures w14:val="none"/>
        </w:rPr>
        <w:t>five case studies</w:t>
      </w:r>
      <w:r w:rsidRPr="00BD06C1">
        <w:rPr>
          <w:rFonts w:asciiTheme="majorHAnsi" w:eastAsia="Times New Roman" w:hAnsiTheme="majorHAnsi" w:cstheme="majorHAnsi"/>
          <w:kern w:val="0"/>
          <w:sz w:val="22"/>
          <w:szCs w:val="22"/>
          <w:lang w:val="en-US" w:eastAsia="tr-TR"/>
          <w14:ligatures w14:val="none"/>
        </w:rPr>
        <w:t xml:space="preserve"> that highlight successful NWFP value chain models.</w:t>
      </w:r>
    </w:p>
    <w:p w14:paraId="1D87C1FA" w14:textId="77777777" w:rsidR="00BD06C1" w:rsidRPr="00BD06C1" w:rsidRDefault="00BD06C1" w:rsidP="00BD06C1">
      <w:pPr>
        <w:numPr>
          <w:ilvl w:val="0"/>
          <w:numId w:val="14"/>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Strengthen knowledge and technical skills to draft and implement policies, strategies, and programs that promote sustainable forest management, rural development, and market competitiveness of NWFPs.</w:t>
      </w:r>
    </w:p>
    <w:p w14:paraId="7C2948DE" w14:textId="77777777" w:rsidR="00BD06C1" w:rsidRPr="00BD06C1" w:rsidRDefault="00BD06C1" w:rsidP="00BD06C1">
      <w:pPr>
        <w:numPr>
          <w:ilvl w:val="0"/>
          <w:numId w:val="14"/>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Facilitate regional cooperation and exchange of experiences among the 15 participating countries to encourage collaborative approaches and harmonized actions.</w:t>
      </w:r>
    </w:p>
    <w:p w14:paraId="56DD5D90"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 xml:space="preserve">It is desired that the online training leaves a </w:t>
      </w:r>
      <w:r w:rsidRPr="00BD06C1">
        <w:rPr>
          <w:rFonts w:asciiTheme="majorHAnsi" w:eastAsia="Times New Roman" w:hAnsiTheme="majorHAnsi" w:cstheme="majorHAnsi"/>
          <w:b/>
          <w:bCs/>
          <w:kern w:val="0"/>
          <w:sz w:val="22"/>
          <w:szCs w:val="22"/>
          <w:lang w:val="en-US" w:eastAsia="tr-TR"/>
          <w14:ligatures w14:val="none"/>
        </w:rPr>
        <w:t>Long-Term Impact</w:t>
      </w:r>
      <w:r w:rsidRPr="00BD06C1">
        <w:rPr>
          <w:rFonts w:asciiTheme="majorHAnsi" w:eastAsia="Times New Roman" w:hAnsiTheme="majorHAnsi" w:cstheme="majorHAnsi"/>
          <w:kern w:val="0"/>
          <w:sz w:val="22"/>
          <w:szCs w:val="22"/>
          <w:lang w:val="en-US" w:eastAsia="tr-TR"/>
          <w14:ligatures w14:val="none"/>
        </w:rPr>
        <w:t>. The Long-Term Impact shall ensure that the knowledge and tools described in the Guidelines are effectively used across the countries in the region, while supporting:</w:t>
      </w:r>
    </w:p>
    <w:p w14:paraId="055B5354" w14:textId="77777777" w:rsidR="00BD06C1" w:rsidRPr="00BD06C1" w:rsidRDefault="00BD06C1" w:rsidP="00BD06C1">
      <w:pPr>
        <w:numPr>
          <w:ilvl w:val="0"/>
          <w:numId w:val="15"/>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Sustainable management of forests and NWFPs,</w:t>
      </w:r>
    </w:p>
    <w:p w14:paraId="1B987437" w14:textId="77777777" w:rsidR="00BD06C1" w:rsidRPr="00BD06C1" w:rsidRDefault="00BD06C1" w:rsidP="00BD06C1">
      <w:pPr>
        <w:numPr>
          <w:ilvl w:val="0"/>
          <w:numId w:val="15"/>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Improved market access for NWFP producers and businesses,</w:t>
      </w:r>
    </w:p>
    <w:p w14:paraId="42AF2C62" w14:textId="77777777" w:rsidR="00BD06C1" w:rsidRPr="00BD06C1" w:rsidRDefault="00BD06C1" w:rsidP="00BD06C1">
      <w:pPr>
        <w:numPr>
          <w:ilvl w:val="0"/>
          <w:numId w:val="15"/>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Enhanced rural livelihoods and food security, and</w:t>
      </w:r>
    </w:p>
    <w:p w14:paraId="5546939A" w14:textId="77777777" w:rsidR="00BD06C1" w:rsidRPr="00BD06C1" w:rsidRDefault="00BD06C1" w:rsidP="00BD06C1">
      <w:pPr>
        <w:numPr>
          <w:ilvl w:val="0"/>
          <w:numId w:val="15"/>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Greater regional collaboration for sustainable forest-based economies.</w:t>
      </w:r>
    </w:p>
    <w:p w14:paraId="0F995949"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 xml:space="preserve">The </w:t>
      </w:r>
      <w:r w:rsidRPr="00BD06C1">
        <w:rPr>
          <w:rFonts w:asciiTheme="majorHAnsi" w:eastAsia="Times New Roman" w:hAnsiTheme="majorHAnsi" w:cstheme="majorHAnsi"/>
          <w:b/>
          <w:bCs/>
          <w:kern w:val="0"/>
          <w:sz w:val="22"/>
          <w:szCs w:val="22"/>
          <w:lang w:val="en-US" w:eastAsia="tr-TR"/>
          <w14:ligatures w14:val="none"/>
        </w:rPr>
        <w:t>Key Expected Outcome</w:t>
      </w:r>
      <w:r w:rsidRPr="00BD06C1">
        <w:rPr>
          <w:rFonts w:asciiTheme="majorHAnsi" w:eastAsia="Times New Roman" w:hAnsiTheme="majorHAnsi" w:cstheme="majorHAnsi"/>
          <w:kern w:val="0"/>
          <w:sz w:val="22"/>
          <w:szCs w:val="22"/>
          <w:lang w:val="en-US" w:eastAsia="tr-TR"/>
          <w14:ligatures w14:val="none"/>
        </w:rPr>
        <w:t xml:space="preserve"> of the Online Training shall include increased understanding of the structure of the Guidelines. Participants will gain a clear picture of the content and methodology. This will enable them to integrate tools introduced in the Guidelines into national frameworks and projects. The outcome will foster a strong foundation for the establishment of sustainable, inclusive, and competitive NWFP value chains across Southeastern Europe, Central Asia, and the Caucasus.</w:t>
      </w:r>
    </w:p>
    <w:p w14:paraId="0902ECEF" w14:textId="77777777" w:rsidR="00BD06C1" w:rsidRPr="00BD06C1" w:rsidRDefault="00000000" w:rsidP="00BD06C1">
      <w:pPr>
        <w:jc w:val="both"/>
        <w:rPr>
          <w:rFonts w:asciiTheme="majorHAnsi" w:eastAsia="Times New Roman" w:hAnsiTheme="majorHAnsi" w:cstheme="majorHAnsi"/>
          <w:kern w:val="0"/>
          <w:sz w:val="22"/>
          <w:szCs w:val="22"/>
          <w:lang w:val="en-US" w:eastAsia="tr-TR"/>
          <w14:ligatures w14:val="none"/>
        </w:rPr>
      </w:pPr>
      <w:r>
        <w:rPr>
          <w:rFonts w:asciiTheme="majorHAnsi" w:eastAsia="Times New Roman" w:hAnsiTheme="majorHAnsi" w:cstheme="majorHAnsi"/>
          <w:kern w:val="0"/>
          <w:sz w:val="22"/>
          <w:szCs w:val="22"/>
          <w:lang w:val="en-US" w:eastAsia="tr-TR"/>
          <w14:ligatures w14:val="none"/>
        </w:rPr>
        <w:pict w14:anchorId="53DE0645">
          <v:rect id="_x0000_i1025" style="width:0;height:1.5pt" o:hralign="center" o:hrstd="t" o:hr="t" fillcolor="#a0a0a0" stroked="f"/>
        </w:pict>
      </w:r>
    </w:p>
    <w:p w14:paraId="50485521" w14:textId="77777777" w:rsidR="00BD06C1" w:rsidRPr="00BD06C1" w:rsidRDefault="00BD06C1" w:rsidP="00BD06C1">
      <w:pPr>
        <w:pStyle w:val="Balk1"/>
        <w:jc w:val="both"/>
        <w:rPr>
          <w:sz w:val="32"/>
          <w:szCs w:val="32"/>
          <w:lang w:val="en-US" w:eastAsia="tr-TR"/>
        </w:rPr>
      </w:pPr>
      <w:bookmarkStart w:id="2" w:name="_Toc209423070"/>
      <w:r w:rsidRPr="00BD06C1">
        <w:rPr>
          <w:sz w:val="32"/>
          <w:szCs w:val="32"/>
          <w:lang w:val="en-US" w:eastAsia="tr-TR"/>
        </w:rPr>
        <w:t>Key Expected Training Outputs</w:t>
      </w:r>
      <w:bookmarkEnd w:id="2"/>
    </w:p>
    <w:p w14:paraId="01F6B7B2" w14:textId="77777777" w:rsidR="00BD06C1" w:rsidRPr="00BD06C1" w:rsidRDefault="00BD06C1" w:rsidP="00BD06C1">
      <w:pPr>
        <w:numPr>
          <w:ilvl w:val="0"/>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b/>
          <w:bCs/>
          <w:kern w:val="0"/>
          <w:sz w:val="22"/>
          <w:szCs w:val="22"/>
          <w:lang w:val="en-US" w:eastAsia="tr-TR"/>
          <w14:ligatures w14:val="none"/>
        </w:rPr>
        <w:t>Practical Application Tools</w:t>
      </w:r>
    </w:p>
    <w:p w14:paraId="70F1DFEF" w14:textId="77777777" w:rsidR="00BD06C1" w:rsidRPr="00BD06C1" w:rsidRDefault="00BD06C1" w:rsidP="00BD06C1">
      <w:pPr>
        <w:numPr>
          <w:ilvl w:val="1"/>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Participants will receive training materials and background documents in English and Russian.</w:t>
      </w:r>
    </w:p>
    <w:p w14:paraId="0A28BD7B" w14:textId="77777777" w:rsidR="00BD06C1" w:rsidRPr="00BD06C1" w:rsidRDefault="00BD06C1" w:rsidP="00BD06C1">
      <w:pPr>
        <w:numPr>
          <w:ilvl w:val="1"/>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These training materials will provide step-by-step guidance for application of the Guidelines in countries of the region.</w:t>
      </w:r>
    </w:p>
    <w:p w14:paraId="57F9C038" w14:textId="77777777" w:rsidR="00BD06C1" w:rsidRPr="00BD06C1" w:rsidRDefault="00BD06C1" w:rsidP="00BD06C1">
      <w:pPr>
        <w:numPr>
          <w:ilvl w:val="0"/>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b/>
          <w:bCs/>
          <w:kern w:val="0"/>
          <w:sz w:val="22"/>
          <w:szCs w:val="22"/>
          <w:lang w:val="en-US" w:eastAsia="tr-TR"/>
          <w14:ligatures w14:val="none"/>
        </w:rPr>
        <w:t>Case Study Insights</w:t>
      </w:r>
    </w:p>
    <w:p w14:paraId="23500873" w14:textId="5D5392A7" w:rsidR="00BD06C1" w:rsidRPr="00BD06C1" w:rsidRDefault="00BD06C1" w:rsidP="00BD06C1">
      <w:pPr>
        <w:numPr>
          <w:ilvl w:val="1"/>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Five detailed case studies, including: Carob (Türkiye), Honey &amp; Bee Products (</w:t>
      </w:r>
      <w:r w:rsidR="00DD7094">
        <w:rPr>
          <w:rFonts w:asciiTheme="majorHAnsi" w:eastAsia="Times New Roman" w:hAnsiTheme="majorHAnsi" w:cstheme="majorHAnsi"/>
          <w:kern w:val="0"/>
          <w:sz w:val="22"/>
          <w:szCs w:val="22"/>
          <w:lang w:val="en-US" w:eastAsia="tr-TR"/>
          <w14:ligatures w14:val="none"/>
        </w:rPr>
        <w:t>SOUTHEASTERN EUROPE, CENTRAL ASİA, AND THE CAUCASUS</w:t>
      </w:r>
      <w:r w:rsidRPr="00BD06C1">
        <w:rPr>
          <w:rFonts w:asciiTheme="majorHAnsi" w:eastAsia="Times New Roman" w:hAnsiTheme="majorHAnsi" w:cstheme="majorHAnsi"/>
          <w:kern w:val="0"/>
          <w:sz w:val="22"/>
          <w:szCs w:val="22"/>
          <w:lang w:val="en-US" w:eastAsia="tr-TR"/>
          <w14:ligatures w14:val="none"/>
        </w:rPr>
        <w:t xml:space="preserve"> countries), Chestnut (Albania), Walnut (Central Asia), and Porcini Mushrooms (</w:t>
      </w:r>
      <w:r w:rsidR="00DD7094">
        <w:rPr>
          <w:rFonts w:asciiTheme="majorHAnsi" w:eastAsia="Times New Roman" w:hAnsiTheme="majorHAnsi" w:cstheme="majorHAnsi"/>
          <w:kern w:val="0"/>
          <w:sz w:val="22"/>
          <w:szCs w:val="22"/>
          <w:lang w:val="en-US" w:eastAsia="tr-TR"/>
          <w14:ligatures w14:val="none"/>
        </w:rPr>
        <w:t>SOUTHEASTERN EUROPE, CENTRAL ASİA, AND THE CAUCASUS</w:t>
      </w:r>
      <w:r w:rsidRPr="00BD06C1">
        <w:rPr>
          <w:rFonts w:asciiTheme="majorHAnsi" w:eastAsia="Times New Roman" w:hAnsiTheme="majorHAnsi" w:cstheme="majorHAnsi"/>
          <w:kern w:val="0"/>
          <w:sz w:val="22"/>
          <w:szCs w:val="22"/>
          <w:lang w:val="en-US" w:eastAsia="tr-TR"/>
          <w14:ligatures w14:val="none"/>
        </w:rPr>
        <w:t xml:space="preserve"> countries), will be introduced with a focus on practical implementation in the region.</w:t>
      </w:r>
    </w:p>
    <w:p w14:paraId="5060F107" w14:textId="77777777" w:rsidR="00BD06C1" w:rsidRPr="00BD06C1" w:rsidRDefault="00BD06C1" w:rsidP="00BD06C1">
      <w:pPr>
        <w:numPr>
          <w:ilvl w:val="1"/>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These examples will help participants identify opportunities to strengthen and diversify their national NWFP value chains.</w:t>
      </w:r>
    </w:p>
    <w:p w14:paraId="320B7DCC" w14:textId="77777777" w:rsidR="00BD06C1" w:rsidRPr="00BD06C1" w:rsidRDefault="00BD06C1" w:rsidP="00BD06C1">
      <w:pPr>
        <w:numPr>
          <w:ilvl w:val="0"/>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b/>
          <w:bCs/>
          <w:kern w:val="0"/>
          <w:sz w:val="22"/>
          <w:szCs w:val="22"/>
          <w:lang w:val="en-US" w:eastAsia="tr-TR"/>
          <w14:ligatures w14:val="none"/>
        </w:rPr>
        <w:t>Next Steps for Participating Countries</w:t>
      </w:r>
    </w:p>
    <w:p w14:paraId="7DE5D64B" w14:textId="77777777" w:rsidR="00BD06C1" w:rsidRPr="00BD06C1" w:rsidRDefault="00BD06C1" w:rsidP="00BD06C1">
      <w:pPr>
        <w:numPr>
          <w:ilvl w:val="1"/>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Participating countries will be equipped with a clear roadmap.</w:t>
      </w:r>
    </w:p>
    <w:p w14:paraId="755AFD9E" w14:textId="77777777" w:rsidR="00BD06C1" w:rsidRPr="00BD06C1" w:rsidRDefault="00BD06C1" w:rsidP="00BD06C1">
      <w:pPr>
        <w:numPr>
          <w:ilvl w:val="1"/>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 roadmap will present next steps for integrating the Guidelines into national policies, strategies, and projects.</w:t>
      </w:r>
    </w:p>
    <w:p w14:paraId="3EC098B3" w14:textId="77777777" w:rsidR="00BD06C1" w:rsidRPr="00BD06C1" w:rsidRDefault="00BD06C1" w:rsidP="00BD06C1">
      <w:pPr>
        <w:numPr>
          <w:ilvl w:val="0"/>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b/>
          <w:bCs/>
          <w:kern w:val="0"/>
          <w:sz w:val="22"/>
          <w:szCs w:val="22"/>
          <w:lang w:val="en-US" w:eastAsia="tr-TR"/>
          <w14:ligatures w14:val="none"/>
        </w:rPr>
        <w:t>Training Report</w:t>
      </w:r>
    </w:p>
    <w:p w14:paraId="7DAEE011" w14:textId="77777777" w:rsidR="00BD06C1" w:rsidRPr="00BD06C1" w:rsidRDefault="00BD06C1" w:rsidP="00BD06C1">
      <w:pPr>
        <w:numPr>
          <w:ilvl w:val="1"/>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A comprehensive training report summarizing the training delivery, participant feedback, and recommendations for future actions will be compiled.</w:t>
      </w:r>
    </w:p>
    <w:p w14:paraId="38D6F299" w14:textId="77777777" w:rsidR="00BD06C1" w:rsidRPr="00BD06C1" w:rsidRDefault="00BD06C1" w:rsidP="00BD06C1">
      <w:pPr>
        <w:numPr>
          <w:ilvl w:val="1"/>
          <w:numId w:val="16"/>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 training report will be shared with the participants after the training.</w:t>
      </w:r>
    </w:p>
    <w:p w14:paraId="2550D6B4" w14:textId="77777777" w:rsidR="00BD06C1" w:rsidRPr="00BD06C1" w:rsidRDefault="00BD06C1" w:rsidP="00BD06C1">
      <w:pPr>
        <w:pStyle w:val="Balk1"/>
        <w:jc w:val="both"/>
        <w:rPr>
          <w:sz w:val="32"/>
          <w:szCs w:val="32"/>
          <w:lang w:val="en-US" w:eastAsia="tr-TR"/>
        </w:rPr>
      </w:pPr>
      <w:bookmarkStart w:id="3" w:name="_Toc209423071"/>
      <w:r w:rsidRPr="00BD06C1">
        <w:rPr>
          <w:sz w:val="32"/>
          <w:szCs w:val="32"/>
          <w:lang w:val="en-US" w:eastAsia="tr-TR"/>
        </w:rPr>
        <w:lastRenderedPageBreak/>
        <w:t>Attendance of the Online Training</w:t>
      </w:r>
      <w:bookmarkEnd w:id="3"/>
    </w:p>
    <w:p w14:paraId="2949761B"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 online training will be open to a broad audience. It will be conducted virtually via the Zoom platform, making it accessible to participants from all countries in Southeastern Europe, Central Asia, and the Caucasus, as well as other interested stakeholders.</w:t>
      </w:r>
    </w:p>
    <w:p w14:paraId="0244C4ED" w14:textId="77777777" w:rsidR="00BD06C1" w:rsidRPr="00BD06C1" w:rsidRDefault="00BD06C1" w:rsidP="00BD06C1">
      <w:p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b/>
          <w:bCs/>
          <w:kern w:val="0"/>
          <w:sz w:val="22"/>
          <w:szCs w:val="22"/>
          <w:lang w:val="en-US" w:eastAsia="tr-TR"/>
          <w14:ligatures w14:val="none"/>
        </w:rPr>
        <w:t>Participation will primarily target:</w:t>
      </w:r>
    </w:p>
    <w:p w14:paraId="234366C8" w14:textId="77777777" w:rsidR="00BD06C1" w:rsidRPr="00BD06C1" w:rsidRDefault="00BD06C1" w:rsidP="00BD06C1">
      <w:pPr>
        <w:numPr>
          <w:ilvl w:val="0"/>
          <w:numId w:val="17"/>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Government representatives from relevant ministries and institutions, such as forestry, agriculture, environment, rural development, and trade.</w:t>
      </w:r>
    </w:p>
    <w:p w14:paraId="6BCAC05A" w14:textId="77777777" w:rsidR="00BD06C1" w:rsidRPr="00BD06C1" w:rsidRDefault="00BD06C1" w:rsidP="00BD06C1">
      <w:pPr>
        <w:numPr>
          <w:ilvl w:val="0"/>
          <w:numId w:val="17"/>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Technical experts and practitioners working on Non-Wood Forest Products (NWFPs) and sustainable forest management.</w:t>
      </w:r>
    </w:p>
    <w:p w14:paraId="5C42284A" w14:textId="77777777" w:rsidR="00BD06C1" w:rsidRPr="00BD06C1" w:rsidRDefault="00BD06C1" w:rsidP="00BD06C1">
      <w:pPr>
        <w:numPr>
          <w:ilvl w:val="0"/>
          <w:numId w:val="17"/>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Academia and research institutions focused on forest resources, rural livelihoods, and market development.</w:t>
      </w:r>
    </w:p>
    <w:p w14:paraId="711098CA" w14:textId="77777777" w:rsidR="00BD06C1" w:rsidRPr="00BD06C1" w:rsidRDefault="00BD06C1" w:rsidP="00BD06C1">
      <w:pPr>
        <w:numPr>
          <w:ilvl w:val="0"/>
          <w:numId w:val="17"/>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Non-governmental organizations (NGOs) and local community representatives engaged in NWFP collection, production, or conservation.</w:t>
      </w:r>
    </w:p>
    <w:p w14:paraId="24C26B88" w14:textId="77777777" w:rsidR="00BD06C1" w:rsidRPr="00BD06C1" w:rsidRDefault="00BD06C1" w:rsidP="00BD06C1">
      <w:pPr>
        <w:numPr>
          <w:ilvl w:val="0"/>
          <w:numId w:val="17"/>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Private sector representatives, including companies involved in NWFP processing, certification, logistics, and trade.</w:t>
      </w:r>
    </w:p>
    <w:p w14:paraId="51A3F47B" w14:textId="77777777" w:rsidR="00BD06C1" w:rsidRPr="00BD06C1" w:rsidRDefault="00BD06C1" w:rsidP="00BD06C1">
      <w:pPr>
        <w:numPr>
          <w:ilvl w:val="0"/>
          <w:numId w:val="17"/>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Development partners and certification bodies supporting forest-based value chains.</w:t>
      </w:r>
    </w:p>
    <w:p w14:paraId="4C6E3272" w14:textId="77777777" w:rsidR="00BD06C1" w:rsidRPr="00BD06C1" w:rsidRDefault="00BD06C1" w:rsidP="0084525B">
      <w:pPr>
        <w:rPr>
          <w:lang w:val="en-US" w:eastAsia="tr-TR"/>
        </w:rPr>
      </w:pPr>
      <w:r w:rsidRPr="00BD06C1">
        <w:rPr>
          <w:lang w:val="en-US" w:eastAsia="tr-TR"/>
        </w:rPr>
        <w:t>How to Participate</w:t>
      </w:r>
    </w:p>
    <w:p w14:paraId="3A9210A3" w14:textId="77777777" w:rsidR="00BD06C1" w:rsidRPr="00BD06C1" w:rsidRDefault="00BD06C1" w:rsidP="00BD06C1">
      <w:pPr>
        <w:numPr>
          <w:ilvl w:val="0"/>
          <w:numId w:val="18"/>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b/>
          <w:bCs/>
          <w:kern w:val="0"/>
          <w:sz w:val="22"/>
          <w:szCs w:val="22"/>
          <w:lang w:val="en-US" w:eastAsia="tr-TR"/>
          <w14:ligatures w14:val="none"/>
        </w:rPr>
        <w:t>Finalization of the Announcement</w:t>
      </w:r>
    </w:p>
    <w:p w14:paraId="10951329" w14:textId="77777777" w:rsidR="00BD06C1" w:rsidRPr="00BD06C1" w:rsidRDefault="00BD06C1" w:rsidP="00BD06C1">
      <w:pPr>
        <w:numPr>
          <w:ilvl w:val="1"/>
          <w:numId w:val="18"/>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 training will be officially announced after consultation and agreement with FAO and the participating countries to ensure alignment on timing and content.</w:t>
      </w:r>
    </w:p>
    <w:p w14:paraId="420CCC7C" w14:textId="77777777" w:rsidR="00BD06C1" w:rsidRPr="00BD06C1" w:rsidRDefault="00BD06C1" w:rsidP="00BD06C1">
      <w:pPr>
        <w:numPr>
          <w:ilvl w:val="0"/>
          <w:numId w:val="18"/>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b/>
          <w:bCs/>
          <w:kern w:val="0"/>
          <w:sz w:val="22"/>
          <w:szCs w:val="22"/>
          <w:lang w:val="en-US" w:eastAsia="tr-TR"/>
          <w14:ligatures w14:val="none"/>
        </w:rPr>
        <w:t>Open Access</w:t>
      </w:r>
    </w:p>
    <w:p w14:paraId="000D7A8E" w14:textId="77777777" w:rsidR="00BD06C1" w:rsidRPr="00BD06C1" w:rsidRDefault="00BD06C1" w:rsidP="00BD06C1">
      <w:pPr>
        <w:numPr>
          <w:ilvl w:val="1"/>
          <w:numId w:val="18"/>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As the training is fully online, participation will not be restricted by location or travel requirements.</w:t>
      </w:r>
    </w:p>
    <w:p w14:paraId="20235455" w14:textId="77777777" w:rsidR="00BD06C1" w:rsidRPr="00BD06C1" w:rsidRDefault="00BD06C1" w:rsidP="00BD06C1">
      <w:pPr>
        <w:numPr>
          <w:ilvl w:val="1"/>
          <w:numId w:val="18"/>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Anyone with an interest in NWFP value chains will be able to join, provided they register through the official Zoom link, which will be shared with the announcement.</w:t>
      </w:r>
    </w:p>
    <w:p w14:paraId="066703F2" w14:textId="77777777" w:rsidR="00BD06C1" w:rsidRPr="00BD06C1" w:rsidRDefault="00BD06C1" w:rsidP="00BD06C1">
      <w:pPr>
        <w:numPr>
          <w:ilvl w:val="0"/>
          <w:numId w:val="18"/>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b/>
          <w:bCs/>
          <w:kern w:val="0"/>
          <w:sz w:val="22"/>
          <w:szCs w:val="22"/>
          <w:lang w:val="en-US" w:eastAsia="tr-TR"/>
          <w14:ligatures w14:val="none"/>
        </w:rPr>
        <w:t>Registration Process</w:t>
      </w:r>
    </w:p>
    <w:p w14:paraId="390F0B78" w14:textId="77777777" w:rsidR="00BD06C1" w:rsidRPr="00BD06C1" w:rsidRDefault="00BD06C1" w:rsidP="00BD06C1">
      <w:pPr>
        <w:numPr>
          <w:ilvl w:val="1"/>
          <w:numId w:val="18"/>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Once the announcement is made, an invitation will be distributed through FAO, OMO, and country focal points.</w:t>
      </w:r>
    </w:p>
    <w:p w14:paraId="1137C90C" w14:textId="77777777" w:rsidR="00BD06C1" w:rsidRPr="00BD06C1" w:rsidRDefault="00BD06C1" w:rsidP="00BD06C1">
      <w:pPr>
        <w:numPr>
          <w:ilvl w:val="1"/>
          <w:numId w:val="18"/>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The Zoom link and registration form will be provided in this invitation.</w:t>
      </w:r>
    </w:p>
    <w:p w14:paraId="24288BA8" w14:textId="77777777" w:rsidR="00BD06C1" w:rsidRDefault="00BD06C1" w:rsidP="00BD06C1">
      <w:pPr>
        <w:numPr>
          <w:ilvl w:val="1"/>
          <w:numId w:val="18"/>
        </w:numPr>
        <w:spacing w:before="100" w:beforeAutospacing="1" w:after="100" w:afterAutospacing="1"/>
        <w:jc w:val="both"/>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Registered participants will receive all relevant training materials, including the agenda, background documents, and Regional Guidelines, in advance of the session.</w:t>
      </w:r>
    </w:p>
    <w:p w14:paraId="505E6527" w14:textId="505B6EB2" w:rsidR="00BD06C1" w:rsidRDefault="00BD06C1" w:rsidP="00BD06C1">
      <w:pPr>
        <w:jc w:val="both"/>
        <w:rPr>
          <w:rFonts w:asciiTheme="majorHAnsi" w:eastAsia="Times New Roman" w:hAnsiTheme="majorHAnsi" w:cstheme="majorHAnsi"/>
          <w:kern w:val="0"/>
          <w:sz w:val="22"/>
          <w:szCs w:val="22"/>
          <w:lang w:val="en-US" w:eastAsia="tr-TR"/>
          <w14:ligatures w14:val="none"/>
        </w:rPr>
      </w:pPr>
      <w:r>
        <w:rPr>
          <w:rFonts w:asciiTheme="majorHAnsi" w:eastAsia="Times New Roman" w:hAnsiTheme="majorHAnsi" w:cstheme="majorHAnsi"/>
          <w:kern w:val="0"/>
          <w:sz w:val="22"/>
          <w:szCs w:val="22"/>
          <w:lang w:val="en-US" w:eastAsia="tr-TR"/>
          <w14:ligatures w14:val="none"/>
        </w:rPr>
        <w:br w:type="page"/>
      </w:r>
    </w:p>
    <w:p w14:paraId="049849D3" w14:textId="2685190B" w:rsidR="008B1EDD" w:rsidRPr="0084525B" w:rsidRDefault="008B1EDD" w:rsidP="0084525B">
      <w:pPr>
        <w:pStyle w:val="Balk1"/>
        <w:jc w:val="both"/>
        <w:rPr>
          <w:sz w:val="32"/>
          <w:szCs w:val="32"/>
          <w:lang w:val="en-US" w:eastAsia="tr-TR"/>
        </w:rPr>
      </w:pPr>
      <w:bookmarkStart w:id="4" w:name="_Toc209423072"/>
      <w:r w:rsidRPr="0084525B">
        <w:rPr>
          <w:sz w:val="32"/>
          <w:szCs w:val="32"/>
          <w:lang w:val="en-US" w:eastAsia="tr-TR"/>
        </w:rPr>
        <w:lastRenderedPageBreak/>
        <w:t>Draft Agenda for the Online Training</w:t>
      </w:r>
      <w:bookmarkEnd w:id="4"/>
    </w:p>
    <w:p w14:paraId="44FAD6FE" w14:textId="77777777" w:rsidR="0084525B" w:rsidRDefault="0084525B" w:rsidP="008B1EDD">
      <w:pPr>
        <w:rPr>
          <w:rFonts w:asciiTheme="majorHAnsi" w:hAnsiTheme="majorHAnsi" w:cstheme="majorHAnsi"/>
          <w:b/>
          <w:bCs/>
          <w:sz w:val="22"/>
          <w:szCs w:val="22"/>
          <w:lang w:val="en-US"/>
        </w:rPr>
      </w:pPr>
    </w:p>
    <w:p w14:paraId="6154E61D" w14:textId="4F34EE7F" w:rsidR="008B1EDD" w:rsidRDefault="008B1EDD" w:rsidP="008B1EDD">
      <w:pPr>
        <w:rPr>
          <w:rFonts w:asciiTheme="majorHAnsi" w:hAnsiTheme="majorHAnsi" w:cstheme="majorHAnsi"/>
          <w:sz w:val="22"/>
          <w:szCs w:val="22"/>
          <w:lang w:val="en-US"/>
        </w:rPr>
      </w:pPr>
      <w:r w:rsidRPr="00BD06C1">
        <w:rPr>
          <w:rFonts w:asciiTheme="majorHAnsi" w:hAnsiTheme="majorHAnsi" w:cstheme="majorHAnsi"/>
          <w:b/>
          <w:bCs/>
          <w:sz w:val="22"/>
          <w:szCs w:val="22"/>
          <w:lang w:val="en-US"/>
        </w:rPr>
        <w:t>Date:</w:t>
      </w:r>
      <w:r w:rsidRPr="00BD06C1">
        <w:rPr>
          <w:rFonts w:asciiTheme="majorHAnsi" w:hAnsiTheme="majorHAnsi" w:cstheme="majorHAnsi"/>
          <w:sz w:val="22"/>
          <w:szCs w:val="22"/>
          <w:lang w:val="en-US"/>
        </w:rPr>
        <w:t xml:space="preserve"> Thursday, 25 September 2025</w:t>
      </w:r>
      <w:r w:rsidRPr="00BD06C1">
        <w:rPr>
          <w:rFonts w:asciiTheme="majorHAnsi" w:hAnsiTheme="majorHAnsi" w:cstheme="majorHAnsi"/>
          <w:sz w:val="22"/>
          <w:szCs w:val="22"/>
          <w:lang w:val="en-US"/>
        </w:rPr>
        <w:br/>
      </w:r>
      <w:r w:rsidRPr="00BD06C1">
        <w:rPr>
          <w:rFonts w:asciiTheme="majorHAnsi" w:hAnsiTheme="majorHAnsi" w:cstheme="majorHAnsi"/>
          <w:b/>
          <w:bCs/>
          <w:sz w:val="22"/>
          <w:szCs w:val="22"/>
          <w:lang w:val="en-US"/>
        </w:rPr>
        <w:t>Time:</w:t>
      </w:r>
      <w:r w:rsidRPr="00BD06C1">
        <w:rPr>
          <w:rFonts w:asciiTheme="majorHAnsi" w:hAnsiTheme="majorHAnsi" w:cstheme="majorHAnsi"/>
          <w:sz w:val="22"/>
          <w:szCs w:val="22"/>
          <w:lang w:val="en-US"/>
        </w:rPr>
        <w:t xml:space="preserve"> 09:00 – 11:</w:t>
      </w:r>
      <w:r w:rsidR="007F3975">
        <w:rPr>
          <w:rFonts w:asciiTheme="majorHAnsi" w:hAnsiTheme="majorHAnsi" w:cstheme="majorHAnsi"/>
          <w:sz w:val="22"/>
          <w:szCs w:val="22"/>
          <w:lang w:val="en-US"/>
        </w:rPr>
        <w:t>45</w:t>
      </w:r>
      <w:r w:rsidRPr="00BD06C1">
        <w:rPr>
          <w:rFonts w:asciiTheme="majorHAnsi" w:hAnsiTheme="majorHAnsi" w:cstheme="majorHAnsi"/>
          <w:sz w:val="22"/>
          <w:szCs w:val="22"/>
          <w:lang w:val="en-US"/>
        </w:rPr>
        <w:t xml:space="preserve"> (Türkiye Time, UTC+3)</w:t>
      </w:r>
      <w:r w:rsidRPr="00BD06C1">
        <w:rPr>
          <w:rFonts w:asciiTheme="majorHAnsi" w:hAnsiTheme="majorHAnsi" w:cstheme="majorHAnsi"/>
          <w:sz w:val="22"/>
          <w:szCs w:val="22"/>
          <w:lang w:val="en-US"/>
        </w:rPr>
        <w:br/>
      </w:r>
      <w:r w:rsidRPr="00BD06C1">
        <w:rPr>
          <w:rFonts w:asciiTheme="majorHAnsi" w:hAnsiTheme="majorHAnsi" w:cstheme="majorHAnsi"/>
          <w:b/>
          <w:bCs/>
          <w:sz w:val="22"/>
          <w:szCs w:val="22"/>
          <w:lang w:val="en-US"/>
        </w:rPr>
        <w:t>Platform:</w:t>
      </w:r>
      <w:r w:rsidRPr="00BD06C1">
        <w:rPr>
          <w:rFonts w:asciiTheme="majorHAnsi" w:hAnsiTheme="majorHAnsi" w:cstheme="majorHAnsi"/>
          <w:sz w:val="22"/>
          <w:szCs w:val="22"/>
          <w:lang w:val="en-US"/>
        </w:rPr>
        <w:t xml:space="preserve"> Zoom </w:t>
      </w:r>
      <w:r w:rsidRPr="00BD06C1">
        <w:rPr>
          <w:rFonts w:asciiTheme="majorHAnsi" w:hAnsiTheme="majorHAnsi" w:cstheme="majorHAnsi"/>
          <w:i/>
          <w:iCs/>
          <w:sz w:val="22"/>
          <w:szCs w:val="22"/>
          <w:lang w:val="en-US"/>
        </w:rPr>
        <w:t>(link to be provided after registration</w:t>
      </w:r>
      <w:r w:rsidR="00EE29C8">
        <w:rPr>
          <w:rFonts w:asciiTheme="majorHAnsi" w:hAnsiTheme="majorHAnsi" w:cstheme="majorHAnsi"/>
          <w:i/>
          <w:iCs/>
          <w:sz w:val="22"/>
          <w:szCs w:val="22"/>
          <w:lang w:val="en-US"/>
        </w:rPr>
        <w:t xml:space="preserve"> through </w:t>
      </w:r>
      <w:hyperlink r:id="rId9" w:history="1">
        <w:r w:rsidR="00EE29C8" w:rsidRPr="00955D39">
          <w:rPr>
            <w:rStyle w:val="Kpr"/>
            <w:rFonts w:asciiTheme="majorHAnsi" w:hAnsiTheme="majorHAnsi" w:cstheme="majorHAnsi"/>
            <w:i/>
            <w:iCs/>
            <w:sz w:val="22"/>
            <w:szCs w:val="22"/>
            <w:lang w:val="en-US"/>
          </w:rPr>
          <w:t>https://www.omoprojects.com/</w:t>
        </w:r>
      </w:hyperlink>
      <w:r w:rsidR="00EE29C8">
        <w:rPr>
          <w:rFonts w:asciiTheme="majorHAnsi" w:hAnsiTheme="majorHAnsi" w:cstheme="majorHAnsi"/>
          <w:i/>
          <w:iCs/>
          <w:sz w:val="22"/>
          <w:szCs w:val="22"/>
          <w:lang w:val="en-US"/>
        </w:rPr>
        <w:t xml:space="preserve"> </w:t>
      </w:r>
      <w:r w:rsidRPr="00BD06C1">
        <w:rPr>
          <w:rFonts w:asciiTheme="majorHAnsi" w:hAnsiTheme="majorHAnsi" w:cstheme="majorHAnsi"/>
          <w:i/>
          <w:iCs/>
          <w:sz w:val="22"/>
          <w:szCs w:val="22"/>
          <w:lang w:val="en-US"/>
        </w:rPr>
        <w:t>)</w:t>
      </w:r>
      <w:r w:rsidRPr="00BD06C1">
        <w:rPr>
          <w:rFonts w:asciiTheme="majorHAnsi" w:hAnsiTheme="majorHAnsi" w:cstheme="majorHAnsi"/>
          <w:sz w:val="22"/>
          <w:szCs w:val="22"/>
          <w:lang w:val="en-US"/>
        </w:rPr>
        <w:br/>
      </w:r>
      <w:bookmarkStart w:id="5" w:name="_Hlk208754966"/>
      <w:r w:rsidRPr="00BD06C1">
        <w:rPr>
          <w:rFonts w:asciiTheme="majorHAnsi" w:hAnsiTheme="majorHAnsi" w:cstheme="majorHAnsi"/>
          <w:b/>
          <w:bCs/>
          <w:sz w:val="22"/>
          <w:szCs w:val="22"/>
          <w:lang w:val="en-US"/>
        </w:rPr>
        <w:t>Languages:</w:t>
      </w:r>
      <w:r w:rsidRPr="00BD06C1">
        <w:rPr>
          <w:rFonts w:asciiTheme="majorHAnsi" w:hAnsiTheme="majorHAnsi" w:cstheme="majorHAnsi"/>
          <w:sz w:val="22"/>
          <w:szCs w:val="22"/>
          <w:lang w:val="en-US"/>
        </w:rPr>
        <w:t xml:space="preserve"> English with simultaneous </w:t>
      </w:r>
      <w:r w:rsidR="00D77C2E" w:rsidRPr="00BD06C1">
        <w:rPr>
          <w:rFonts w:asciiTheme="majorHAnsi" w:hAnsiTheme="majorHAnsi" w:cstheme="majorHAnsi"/>
          <w:sz w:val="22"/>
          <w:szCs w:val="22"/>
          <w:lang w:val="en-US"/>
        </w:rPr>
        <w:t>Russian</w:t>
      </w:r>
      <w:r w:rsidR="00D77C2E">
        <w:rPr>
          <w:rFonts w:asciiTheme="majorHAnsi" w:hAnsiTheme="majorHAnsi" w:cstheme="majorHAnsi"/>
          <w:sz w:val="22"/>
          <w:szCs w:val="22"/>
          <w:lang w:val="en-US"/>
        </w:rPr>
        <w:t xml:space="preserve"> </w:t>
      </w:r>
      <w:r w:rsidR="00D77C2E" w:rsidRPr="00BD06C1">
        <w:rPr>
          <w:rFonts w:asciiTheme="majorHAnsi" w:hAnsiTheme="majorHAnsi" w:cstheme="majorHAnsi"/>
          <w:sz w:val="22"/>
          <w:szCs w:val="22"/>
          <w:lang w:val="en-US"/>
        </w:rPr>
        <w:t>translation</w:t>
      </w:r>
    </w:p>
    <w:bookmarkEnd w:id="5"/>
    <w:p w14:paraId="6EB55525" w14:textId="77777777" w:rsidR="008B1EDD" w:rsidRPr="00BD06C1" w:rsidRDefault="008B1EDD" w:rsidP="008B1EDD">
      <w:pPr>
        <w:jc w:val="both"/>
        <w:rPr>
          <w:rFonts w:asciiTheme="majorHAnsi" w:hAnsiTheme="majorHAnsi" w:cstheme="majorHAnsi"/>
          <w:sz w:val="22"/>
          <w:szCs w:val="22"/>
          <w:lang w:val="en-US"/>
        </w:rPr>
      </w:pPr>
    </w:p>
    <w:p w14:paraId="627CD711" w14:textId="77777777" w:rsidR="00CB54E9" w:rsidRPr="00BD06C1" w:rsidRDefault="00CB54E9">
      <w:pPr>
        <w:rPr>
          <w:rFonts w:asciiTheme="majorHAnsi" w:hAnsiTheme="majorHAnsi" w:cstheme="majorHAnsi"/>
          <w:sz w:val="22"/>
          <w:szCs w:val="22"/>
          <w:lang w:val="en-US"/>
        </w:rPr>
      </w:pPr>
    </w:p>
    <w:tbl>
      <w:tblPr>
        <w:tblW w:w="926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4"/>
        <w:gridCol w:w="5070"/>
        <w:gridCol w:w="2747"/>
      </w:tblGrid>
      <w:tr w:rsidR="00AE1B8F" w:rsidRPr="00BD06C1" w14:paraId="4901845E" w14:textId="77777777" w:rsidTr="00F70538">
        <w:trPr>
          <w:trHeight w:val="320"/>
          <w:tblHeader/>
          <w:tblCellSpacing w:w="15" w:type="dxa"/>
        </w:trPr>
        <w:tc>
          <w:tcPr>
            <w:tcW w:w="1399" w:type="dxa"/>
            <w:vAlign w:val="center"/>
            <w:hideMark/>
          </w:tcPr>
          <w:p w14:paraId="72FF3349" w14:textId="77777777" w:rsidR="00AE1B8F" w:rsidRPr="00BD06C1" w:rsidRDefault="00AE1B8F" w:rsidP="00F70538">
            <w:pPr>
              <w:jc w:val="cente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Time (UTC+3)</w:t>
            </w:r>
          </w:p>
        </w:tc>
        <w:tc>
          <w:tcPr>
            <w:tcW w:w="5040" w:type="dxa"/>
            <w:vAlign w:val="center"/>
            <w:hideMark/>
          </w:tcPr>
          <w:p w14:paraId="435F6B22" w14:textId="77777777" w:rsidR="00AE1B8F" w:rsidRPr="00BD06C1" w:rsidRDefault="00AE1B8F" w:rsidP="00F70538">
            <w:pPr>
              <w:jc w:val="cente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Session / Activity</w:t>
            </w:r>
          </w:p>
        </w:tc>
        <w:tc>
          <w:tcPr>
            <w:tcW w:w="2702" w:type="dxa"/>
            <w:vAlign w:val="center"/>
            <w:hideMark/>
          </w:tcPr>
          <w:p w14:paraId="3E9DDBAE" w14:textId="77777777" w:rsidR="00AE1B8F" w:rsidRPr="00BD06C1" w:rsidRDefault="00AE1B8F" w:rsidP="00F70538">
            <w:pPr>
              <w:jc w:val="cente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Lead / Speaker</w:t>
            </w:r>
          </w:p>
        </w:tc>
      </w:tr>
      <w:tr w:rsidR="00AE1B8F" w:rsidRPr="00BD06C1" w14:paraId="2E8306BC" w14:textId="77777777" w:rsidTr="00F70538">
        <w:trPr>
          <w:trHeight w:val="320"/>
          <w:tblCellSpacing w:w="15" w:type="dxa"/>
        </w:trPr>
        <w:tc>
          <w:tcPr>
            <w:tcW w:w="1399" w:type="dxa"/>
            <w:vAlign w:val="center"/>
            <w:hideMark/>
          </w:tcPr>
          <w:p w14:paraId="5A3FE20A"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09:00 – 09:10</w:t>
            </w:r>
          </w:p>
        </w:tc>
        <w:tc>
          <w:tcPr>
            <w:tcW w:w="5040" w:type="dxa"/>
            <w:vAlign w:val="center"/>
            <w:hideMark/>
          </w:tcPr>
          <w:p w14:paraId="5FCF75F1"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Opening Remarks and Welcome</w:t>
            </w:r>
          </w:p>
        </w:tc>
        <w:tc>
          <w:tcPr>
            <w:tcW w:w="2702" w:type="dxa"/>
            <w:vAlign w:val="center"/>
            <w:hideMark/>
          </w:tcPr>
          <w:p w14:paraId="34EC965D" w14:textId="77777777" w:rsidR="00AE1B8F" w:rsidRDefault="00AE1B8F" w:rsidP="00F70538">
            <w:pPr>
              <w:rPr>
                <w:rFonts w:asciiTheme="majorHAnsi" w:eastAsia="Times New Roman" w:hAnsiTheme="majorHAnsi" w:cstheme="majorHAnsi"/>
                <w:kern w:val="0"/>
                <w:sz w:val="22"/>
                <w:szCs w:val="22"/>
                <w:lang w:val="en-US" w:eastAsia="tr-TR"/>
                <w14:ligatures w14:val="none"/>
              </w:rPr>
            </w:pPr>
            <w:r w:rsidRPr="00DB2B26">
              <w:rPr>
                <w:rFonts w:asciiTheme="majorHAnsi" w:eastAsia="Times New Roman" w:hAnsiTheme="majorHAnsi" w:cstheme="majorHAnsi"/>
                <w:kern w:val="0"/>
                <w:sz w:val="22"/>
                <w:szCs w:val="22"/>
                <w:lang w:val="en-US" w:eastAsia="tr-TR"/>
                <w14:ligatures w14:val="none"/>
              </w:rPr>
              <w:t>Dr Peter Pechacek</w:t>
            </w:r>
            <w:r>
              <w:rPr>
                <w:rFonts w:asciiTheme="majorHAnsi" w:eastAsia="Times New Roman" w:hAnsiTheme="majorHAnsi" w:cstheme="majorHAnsi"/>
                <w:kern w:val="0"/>
                <w:sz w:val="22"/>
                <w:szCs w:val="22"/>
                <w:lang w:val="en-US" w:eastAsia="tr-TR"/>
                <w14:ligatures w14:val="none"/>
              </w:rPr>
              <w:t>-FAO</w:t>
            </w:r>
            <w:r w:rsidRPr="00DB2B26">
              <w:rPr>
                <w:rFonts w:asciiTheme="majorHAnsi" w:eastAsia="Times New Roman" w:hAnsiTheme="majorHAnsi" w:cstheme="majorHAnsi"/>
                <w:kern w:val="0"/>
                <w:sz w:val="22"/>
                <w:szCs w:val="22"/>
                <w:lang w:val="en-US" w:eastAsia="tr-TR"/>
                <w14:ligatures w14:val="none"/>
              </w:rPr>
              <w:t xml:space="preserve"> </w:t>
            </w:r>
            <w:r>
              <w:rPr>
                <w:rFonts w:asciiTheme="majorHAnsi" w:eastAsia="Times New Roman" w:hAnsiTheme="majorHAnsi" w:cstheme="majorHAnsi"/>
                <w:kern w:val="0"/>
                <w:sz w:val="22"/>
                <w:szCs w:val="22"/>
                <w:lang w:val="en-US" w:eastAsia="tr-TR"/>
                <w14:ligatures w14:val="none"/>
              </w:rPr>
              <w:t>–</w:t>
            </w:r>
          </w:p>
          <w:p w14:paraId="73513244" w14:textId="77777777" w:rsidR="00AE1B8F" w:rsidRPr="00AE2144" w:rsidRDefault="00AE1B8F" w:rsidP="00F70538">
            <w:pPr>
              <w:rPr>
                <w:rFonts w:asciiTheme="majorHAnsi" w:eastAsia="Times New Roman" w:hAnsiTheme="majorHAnsi" w:cstheme="majorHAnsi"/>
                <w:kern w:val="0"/>
                <w:sz w:val="22"/>
                <w:szCs w:val="22"/>
                <w:lang w:val="en-US" w:eastAsia="tr-TR"/>
                <w14:ligatures w14:val="none"/>
              </w:rPr>
            </w:pPr>
            <w:r w:rsidRPr="00AE2144">
              <w:rPr>
                <w:rFonts w:asciiTheme="majorHAnsi" w:eastAsia="Times New Roman" w:hAnsiTheme="majorHAnsi" w:cstheme="majorHAnsi"/>
                <w:kern w:val="0"/>
                <w:sz w:val="22"/>
                <w:szCs w:val="22"/>
                <w:lang w:val="en-US" w:eastAsia="tr-TR"/>
                <w14:ligatures w14:val="none"/>
              </w:rPr>
              <w:t>Hasan Türkyılmaz-OMO</w:t>
            </w:r>
          </w:p>
          <w:p w14:paraId="0D025BA8"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p>
        </w:tc>
      </w:tr>
      <w:tr w:rsidR="00AE1B8F" w:rsidRPr="00BD06C1" w14:paraId="7AEE973D" w14:textId="77777777" w:rsidTr="00F70538">
        <w:trPr>
          <w:trHeight w:val="639"/>
          <w:tblCellSpacing w:w="15" w:type="dxa"/>
        </w:trPr>
        <w:tc>
          <w:tcPr>
            <w:tcW w:w="1399" w:type="dxa"/>
            <w:vAlign w:val="center"/>
            <w:hideMark/>
          </w:tcPr>
          <w:p w14:paraId="73A637CE"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09:10 – 09:20</w:t>
            </w:r>
          </w:p>
        </w:tc>
        <w:tc>
          <w:tcPr>
            <w:tcW w:w="5040" w:type="dxa"/>
            <w:vAlign w:val="center"/>
            <w:hideMark/>
          </w:tcPr>
          <w:p w14:paraId="4AB7CE0D"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Introduction of Participants and Objectives of the Training</w:t>
            </w:r>
          </w:p>
        </w:tc>
        <w:tc>
          <w:tcPr>
            <w:tcW w:w="2702" w:type="dxa"/>
            <w:vAlign w:val="center"/>
            <w:hideMark/>
          </w:tcPr>
          <w:p w14:paraId="08689813" w14:textId="77777777" w:rsidR="00AE1B8F" w:rsidRDefault="00AE1B8F" w:rsidP="00F70538">
            <w:pPr>
              <w:rPr>
                <w:rFonts w:asciiTheme="majorHAnsi" w:eastAsia="Times New Roman" w:hAnsiTheme="majorHAnsi" w:cstheme="majorHAnsi"/>
                <w:kern w:val="0"/>
                <w:sz w:val="22"/>
                <w:szCs w:val="22"/>
                <w:lang w:val="en-US" w:eastAsia="tr-TR"/>
                <w14:ligatures w14:val="none"/>
              </w:rPr>
            </w:pPr>
            <w:r>
              <w:rPr>
                <w:rFonts w:asciiTheme="majorHAnsi" w:eastAsia="Times New Roman" w:hAnsiTheme="majorHAnsi" w:cstheme="majorHAnsi"/>
                <w:kern w:val="0"/>
                <w:sz w:val="22"/>
                <w:szCs w:val="22"/>
                <w:lang w:val="en-US" w:eastAsia="tr-TR"/>
                <w14:ligatures w14:val="none"/>
              </w:rPr>
              <w:t>İsmail Belen</w:t>
            </w:r>
          </w:p>
          <w:p w14:paraId="2F9ED217"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Pr>
                <w:rFonts w:asciiTheme="majorHAnsi" w:eastAsia="Times New Roman" w:hAnsiTheme="majorHAnsi" w:cstheme="majorHAnsi"/>
                <w:kern w:val="0"/>
                <w:sz w:val="22"/>
                <w:szCs w:val="22"/>
                <w:lang w:val="en-US" w:eastAsia="tr-TR"/>
                <w14:ligatures w14:val="none"/>
              </w:rPr>
              <w:t>Ercan Kaptanoğlu</w:t>
            </w:r>
          </w:p>
        </w:tc>
      </w:tr>
      <w:tr w:rsidR="00AE1B8F" w:rsidRPr="00BD06C1" w14:paraId="6796D2AF" w14:textId="77777777" w:rsidTr="00F70538">
        <w:trPr>
          <w:trHeight w:val="656"/>
          <w:tblCellSpacing w:w="15" w:type="dxa"/>
        </w:trPr>
        <w:tc>
          <w:tcPr>
            <w:tcW w:w="1399" w:type="dxa"/>
            <w:vAlign w:val="center"/>
            <w:hideMark/>
          </w:tcPr>
          <w:p w14:paraId="2E2D0C07"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09:20 – 09:30</w:t>
            </w:r>
          </w:p>
        </w:tc>
        <w:tc>
          <w:tcPr>
            <w:tcW w:w="5040" w:type="dxa"/>
            <w:vAlign w:val="center"/>
            <w:hideMark/>
          </w:tcPr>
          <w:p w14:paraId="11332E9B"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Presentation of the Regional Guidelines on Value Chain Development and Market Access for NWFPs</w:t>
            </w:r>
          </w:p>
        </w:tc>
        <w:tc>
          <w:tcPr>
            <w:tcW w:w="2702" w:type="dxa"/>
            <w:vAlign w:val="center"/>
            <w:hideMark/>
          </w:tcPr>
          <w:p w14:paraId="738F9D6A"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Pr>
                <w:rFonts w:asciiTheme="majorHAnsi" w:eastAsia="Times New Roman" w:hAnsiTheme="majorHAnsi" w:cstheme="majorHAnsi"/>
                <w:kern w:val="0"/>
                <w:sz w:val="22"/>
                <w:szCs w:val="22"/>
                <w:lang w:val="en-US" w:eastAsia="tr-TR"/>
                <w14:ligatures w14:val="none"/>
              </w:rPr>
              <w:t>Dr. Çağlar Başsüllü</w:t>
            </w:r>
          </w:p>
        </w:tc>
      </w:tr>
      <w:tr w:rsidR="00AE1B8F" w:rsidRPr="00BD06C1" w14:paraId="2A944B3E" w14:textId="77777777" w:rsidTr="00F70538">
        <w:trPr>
          <w:trHeight w:val="320"/>
          <w:tblCellSpacing w:w="15" w:type="dxa"/>
        </w:trPr>
        <w:tc>
          <w:tcPr>
            <w:tcW w:w="1399" w:type="dxa"/>
            <w:vAlign w:val="center"/>
            <w:hideMark/>
          </w:tcPr>
          <w:p w14:paraId="201D6210" w14:textId="77777777" w:rsidR="00AE1B8F" w:rsidRPr="00BD06C1" w:rsidRDefault="00AE1B8F" w:rsidP="00F70538">
            <w:pPr>
              <w:rPr>
                <w:rFonts w:asciiTheme="majorHAnsi" w:eastAsia="Times New Roman" w:hAnsiTheme="majorHAnsi" w:cstheme="majorHAnsi"/>
                <w:b/>
                <w:bCs/>
                <w:i/>
                <w:iCs/>
                <w:kern w:val="0"/>
                <w:sz w:val="22"/>
                <w:szCs w:val="22"/>
                <w:lang w:val="en-US" w:eastAsia="tr-TR"/>
                <w14:ligatures w14:val="none"/>
              </w:rPr>
            </w:pPr>
            <w:r w:rsidRPr="00BD06C1">
              <w:rPr>
                <w:rFonts w:asciiTheme="majorHAnsi" w:eastAsia="Times New Roman" w:hAnsiTheme="majorHAnsi" w:cstheme="majorHAnsi"/>
                <w:b/>
                <w:bCs/>
                <w:i/>
                <w:iCs/>
                <w:kern w:val="0"/>
                <w:sz w:val="22"/>
                <w:szCs w:val="22"/>
                <w:lang w:val="en-US" w:eastAsia="tr-TR"/>
                <w14:ligatures w14:val="none"/>
              </w:rPr>
              <w:t>09:30 – 10:30</w:t>
            </w:r>
          </w:p>
        </w:tc>
        <w:tc>
          <w:tcPr>
            <w:tcW w:w="5040" w:type="dxa"/>
            <w:vAlign w:val="center"/>
            <w:hideMark/>
          </w:tcPr>
          <w:p w14:paraId="2247B52A" w14:textId="77777777" w:rsidR="00AE1B8F" w:rsidRPr="00BD06C1" w:rsidRDefault="00AE1B8F" w:rsidP="00F70538">
            <w:pPr>
              <w:rPr>
                <w:rFonts w:asciiTheme="majorHAnsi" w:eastAsia="Times New Roman" w:hAnsiTheme="majorHAnsi" w:cstheme="majorHAnsi"/>
                <w:b/>
                <w:bCs/>
                <w:i/>
                <w:iCs/>
                <w:kern w:val="0"/>
                <w:sz w:val="22"/>
                <w:szCs w:val="22"/>
                <w:lang w:val="en-US" w:eastAsia="tr-TR"/>
                <w14:ligatures w14:val="none"/>
              </w:rPr>
            </w:pPr>
            <w:r w:rsidRPr="00BD06C1">
              <w:rPr>
                <w:rFonts w:asciiTheme="majorHAnsi" w:eastAsia="Times New Roman" w:hAnsiTheme="majorHAnsi" w:cstheme="majorHAnsi"/>
                <w:b/>
                <w:bCs/>
                <w:i/>
                <w:iCs/>
                <w:kern w:val="0"/>
                <w:sz w:val="22"/>
                <w:szCs w:val="22"/>
                <w:lang w:val="en-US" w:eastAsia="tr-TR"/>
                <w14:ligatures w14:val="none"/>
              </w:rPr>
              <w:t>Case Studies on NWFP Value Chains</w:t>
            </w:r>
          </w:p>
        </w:tc>
        <w:tc>
          <w:tcPr>
            <w:tcW w:w="2702" w:type="dxa"/>
            <w:vAlign w:val="center"/>
            <w:hideMark/>
          </w:tcPr>
          <w:p w14:paraId="33FDCC53" w14:textId="77777777" w:rsidR="00AE1B8F" w:rsidRPr="00BD06C1" w:rsidRDefault="00AE1B8F" w:rsidP="00F70538">
            <w:pPr>
              <w:rPr>
                <w:rFonts w:asciiTheme="majorHAnsi" w:eastAsia="Times New Roman" w:hAnsiTheme="majorHAnsi" w:cstheme="majorHAnsi"/>
                <w:b/>
                <w:bCs/>
                <w:i/>
                <w:iCs/>
                <w:kern w:val="0"/>
                <w:sz w:val="22"/>
                <w:szCs w:val="22"/>
                <w:lang w:val="en-US" w:eastAsia="tr-TR"/>
                <w14:ligatures w14:val="none"/>
              </w:rPr>
            </w:pPr>
          </w:p>
        </w:tc>
      </w:tr>
      <w:tr w:rsidR="00AE1B8F" w:rsidRPr="00BD06C1" w14:paraId="68F86E55" w14:textId="77777777" w:rsidTr="00F70538">
        <w:trPr>
          <w:trHeight w:val="320"/>
          <w:tblCellSpacing w:w="15" w:type="dxa"/>
        </w:trPr>
        <w:tc>
          <w:tcPr>
            <w:tcW w:w="1399" w:type="dxa"/>
            <w:vAlign w:val="center"/>
            <w:hideMark/>
          </w:tcPr>
          <w:p w14:paraId="1617611E"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09:30 – 09:34</w:t>
            </w:r>
          </w:p>
        </w:tc>
        <w:tc>
          <w:tcPr>
            <w:tcW w:w="5040" w:type="dxa"/>
            <w:vAlign w:val="center"/>
            <w:hideMark/>
          </w:tcPr>
          <w:p w14:paraId="19F57C57"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Introduction to Case Studies Session</w:t>
            </w:r>
          </w:p>
        </w:tc>
        <w:tc>
          <w:tcPr>
            <w:tcW w:w="2702" w:type="dxa"/>
            <w:vAlign w:val="center"/>
            <w:hideMark/>
          </w:tcPr>
          <w:p w14:paraId="79AFD12C" w14:textId="77777777" w:rsidR="00AE1B8F" w:rsidRPr="00C4360F" w:rsidRDefault="00AE1B8F" w:rsidP="00F70538">
            <w:pPr>
              <w:rPr>
                <w:rFonts w:asciiTheme="majorHAnsi" w:eastAsia="Times New Roman" w:hAnsiTheme="majorHAnsi" w:cstheme="majorHAnsi"/>
                <w:i/>
                <w:iCs/>
                <w:kern w:val="0"/>
                <w:sz w:val="22"/>
                <w:szCs w:val="22"/>
                <w:lang w:val="en-US" w:eastAsia="tr-TR"/>
                <w14:ligatures w14:val="none"/>
              </w:rPr>
            </w:pPr>
            <w:r>
              <w:rPr>
                <w:rFonts w:asciiTheme="majorHAnsi" w:eastAsia="Times New Roman" w:hAnsiTheme="majorHAnsi" w:cstheme="majorHAnsi"/>
                <w:b/>
                <w:bCs/>
                <w:i/>
                <w:iCs/>
                <w:kern w:val="0"/>
                <w:sz w:val="22"/>
                <w:szCs w:val="22"/>
                <w:lang w:val="en-US" w:eastAsia="tr-TR"/>
                <w14:ligatures w14:val="none"/>
              </w:rPr>
              <w:t>İsmail Belen</w:t>
            </w:r>
          </w:p>
        </w:tc>
      </w:tr>
      <w:tr w:rsidR="00AE1B8F" w:rsidRPr="00BD06C1" w14:paraId="2FC763C0" w14:textId="77777777" w:rsidTr="00F70538">
        <w:trPr>
          <w:trHeight w:val="320"/>
          <w:tblCellSpacing w:w="15" w:type="dxa"/>
        </w:trPr>
        <w:tc>
          <w:tcPr>
            <w:tcW w:w="1399" w:type="dxa"/>
            <w:vAlign w:val="center"/>
            <w:hideMark/>
          </w:tcPr>
          <w:p w14:paraId="1DAD9BB5"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09:34 – 09:41</w:t>
            </w:r>
          </w:p>
        </w:tc>
        <w:tc>
          <w:tcPr>
            <w:tcW w:w="5040" w:type="dxa"/>
            <w:vAlign w:val="center"/>
            <w:hideMark/>
          </w:tcPr>
          <w:p w14:paraId="283B26A7"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7D2358">
              <w:rPr>
                <w:rFonts w:asciiTheme="majorHAnsi" w:eastAsia="Times New Roman" w:hAnsiTheme="majorHAnsi" w:cstheme="majorHAnsi"/>
                <w:b/>
                <w:bCs/>
                <w:i/>
                <w:iCs/>
                <w:kern w:val="0"/>
                <w:sz w:val="22"/>
                <w:szCs w:val="22"/>
                <w:lang w:val="en-US" w:eastAsia="tr-TR"/>
                <w14:ligatures w14:val="none"/>
              </w:rPr>
              <w:t>Carob Value</w:t>
            </w:r>
            <w:r w:rsidRPr="00BD06C1">
              <w:rPr>
                <w:rFonts w:asciiTheme="majorHAnsi" w:eastAsia="Times New Roman" w:hAnsiTheme="majorHAnsi" w:cstheme="majorHAnsi"/>
                <w:i/>
                <w:iCs/>
                <w:kern w:val="0"/>
                <w:sz w:val="22"/>
                <w:szCs w:val="22"/>
                <w:lang w:val="en-US" w:eastAsia="tr-TR"/>
                <w14:ligatures w14:val="none"/>
              </w:rPr>
              <w:t xml:space="preserve"> Chain </w:t>
            </w:r>
          </w:p>
        </w:tc>
        <w:tc>
          <w:tcPr>
            <w:tcW w:w="2702" w:type="dxa"/>
            <w:vAlign w:val="center"/>
            <w:hideMark/>
          </w:tcPr>
          <w:p w14:paraId="00469B7B" w14:textId="77777777" w:rsidR="00AE1B8F" w:rsidRPr="00C4360F" w:rsidRDefault="00AE1B8F" w:rsidP="00F70538">
            <w:pPr>
              <w:rPr>
                <w:rFonts w:asciiTheme="majorHAnsi" w:eastAsia="Times New Roman" w:hAnsiTheme="majorHAnsi" w:cstheme="majorHAnsi"/>
                <w:i/>
                <w:iCs/>
                <w:kern w:val="0"/>
                <w:sz w:val="22"/>
                <w:szCs w:val="22"/>
                <w:lang w:val="en-US" w:eastAsia="tr-TR"/>
                <w14:ligatures w14:val="none"/>
              </w:rPr>
            </w:pPr>
            <w:r>
              <w:rPr>
                <w:rFonts w:asciiTheme="majorHAnsi" w:eastAsia="Times New Roman" w:hAnsiTheme="majorHAnsi" w:cstheme="majorHAnsi"/>
                <w:i/>
                <w:iCs/>
                <w:kern w:val="0"/>
                <w:sz w:val="22"/>
                <w:szCs w:val="22"/>
                <w:lang w:val="en-US" w:eastAsia="tr-TR"/>
                <w14:ligatures w14:val="none"/>
              </w:rPr>
              <w:t xml:space="preserve">Sema </w:t>
            </w:r>
            <w:proofErr w:type="spellStart"/>
            <w:r>
              <w:rPr>
                <w:rFonts w:asciiTheme="majorHAnsi" w:eastAsia="Times New Roman" w:hAnsiTheme="majorHAnsi" w:cstheme="majorHAnsi"/>
                <w:i/>
                <w:iCs/>
                <w:kern w:val="0"/>
                <w:sz w:val="22"/>
                <w:szCs w:val="22"/>
                <w:lang w:val="en-US" w:eastAsia="tr-TR"/>
                <w14:ligatures w14:val="none"/>
              </w:rPr>
              <w:t>Altunel</w:t>
            </w:r>
            <w:proofErr w:type="spellEnd"/>
          </w:p>
        </w:tc>
      </w:tr>
      <w:tr w:rsidR="00AE1B8F" w:rsidRPr="00BD06C1" w14:paraId="04A80422" w14:textId="77777777" w:rsidTr="00F70538">
        <w:trPr>
          <w:trHeight w:val="320"/>
          <w:tblCellSpacing w:w="15" w:type="dxa"/>
        </w:trPr>
        <w:tc>
          <w:tcPr>
            <w:tcW w:w="1399" w:type="dxa"/>
            <w:vAlign w:val="center"/>
            <w:hideMark/>
          </w:tcPr>
          <w:p w14:paraId="0F4A7AB8"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09:41 – 09:48</w:t>
            </w:r>
          </w:p>
        </w:tc>
        <w:tc>
          <w:tcPr>
            <w:tcW w:w="5040" w:type="dxa"/>
            <w:vAlign w:val="center"/>
            <w:hideMark/>
          </w:tcPr>
          <w:p w14:paraId="3752AF06"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7D2358">
              <w:rPr>
                <w:rFonts w:asciiTheme="majorHAnsi" w:eastAsia="Times New Roman" w:hAnsiTheme="majorHAnsi" w:cstheme="majorHAnsi"/>
                <w:b/>
                <w:bCs/>
                <w:i/>
                <w:iCs/>
                <w:kern w:val="0"/>
                <w:sz w:val="22"/>
                <w:szCs w:val="22"/>
                <w:lang w:val="en-US" w:eastAsia="tr-TR"/>
                <w14:ligatures w14:val="none"/>
              </w:rPr>
              <w:t>Honey &amp; Bee Products Value Chain</w:t>
            </w:r>
            <w:r w:rsidRPr="00BD06C1">
              <w:rPr>
                <w:rFonts w:asciiTheme="majorHAnsi" w:eastAsia="Times New Roman" w:hAnsiTheme="majorHAnsi" w:cstheme="majorHAnsi"/>
                <w:i/>
                <w:iCs/>
                <w:kern w:val="0"/>
                <w:sz w:val="22"/>
                <w:szCs w:val="22"/>
                <w:lang w:val="en-US" w:eastAsia="tr-TR"/>
                <w14:ligatures w14:val="none"/>
              </w:rPr>
              <w:t xml:space="preserve"> </w:t>
            </w:r>
          </w:p>
        </w:tc>
        <w:tc>
          <w:tcPr>
            <w:tcW w:w="2702" w:type="dxa"/>
            <w:vAlign w:val="center"/>
            <w:hideMark/>
          </w:tcPr>
          <w:p w14:paraId="7A114C46" w14:textId="77777777" w:rsidR="00AE1B8F" w:rsidRPr="00C4360F" w:rsidRDefault="00AE1B8F" w:rsidP="00F70538">
            <w:pPr>
              <w:rPr>
                <w:rFonts w:asciiTheme="majorHAnsi" w:eastAsia="Times New Roman" w:hAnsiTheme="majorHAnsi" w:cstheme="majorHAnsi"/>
                <w:i/>
                <w:iCs/>
                <w:kern w:val="0"/>
                <w:sz w:val="22"/>
                <w:szCs w:val="22"/>
                <w:lang w:val="en-US" w:eastAsia="tr-TR"/>
                <w14:ligatures w14:val="none"/>
              </w:rPr>
            </w:pPr>
            <w:r>
              <w:rPr>
                <w:rFonts w:asciiTheme="majorHAnsi" w:eastAsia="Times New Roman" w:hAnsiTheme="majorHAnsi" w:cstheme="majorHAnsi"/>
                <w:i/>
                <w:iCs/>
                <w:kern w:val="0"/>
                <w:sz w:val="22"/>
                <w:szCs w:val="22"/>
                <w:lang w:val="en-US" w:eastAsia="tr-TR"/>
                <w14:ligatures w14:val="none"/>
              </w:rPr>
              <w:t>İsmail Belen</w:t>
            </w:r>
          </w:p>
        </w:tc>
      </w:tr>
      <w:tr w:rsidR="00AE1B8F" w:rsidRPr="00BD06C1" w14:paraId="56CFF70E" w14:textId="77777777" w:rsidTr="00F70538">
        <w:trPr>
          <w:trHeight w:val="336"/>
          <w:tblCellSpacing w:w="15" w:type="dxa"/>
        </w:trPr>
        <w:tc>
          <w:tcPr>
            <w:tcW w:w="1399" w:type="dxa"/>
            <w:vAlign w:val="center"/>
            <w:hideMark/>
          </w:tcPr>
          <w:p w14:paraId="3CB332A4"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09:48 – 09:55</w:t>
            </w:r>
          </w:p>
        </w:tc>
        <w:tc>
          <w:tcPr>
            <w:tcW w:w="5040" w:type="dxa"/>
            <w:vAlign w:val="center"/>
            <w:hideMark/>
          </w:tcPr>
          <w:p w14:paraId="41AA9073"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7D2358">
              <w:rPr>
                <w:rFonts w:asciiTheme="majorHAnsi" w:eastAsia="Times New Roman" w:hAnsiTheme="majorHAnsi" w:cstheme="majorHAnsi"/>
                <w:b/>
                <w:bCs/>
                <w:i/>
                <w:iCs/>
                <w:kern w:val="0"/>
                <w:sz w:val="22"/>
                <w:szCs w:val="22"/>
                <w:lang w:val="en-US" w:eastAsia="tr-TR"/>
                <w14:ligatures w14:val="none"/>
              </w:rPr>
              <w:t>Chestnut Value</w:t>
            </w:r>
            <w:r w:rsidRPr="00BD06C1">
              <w:rPr>
                <w:rFonts w:asciiTheme="majorHAnsi" w:eastAsia="Times New Roman" w:hAnsiTheme="majorHAnsi" w:cstheme="majorHAnsi"/>
                <w:i/>
                <w:iCs/>
                <w:kern w:val="0"/>
                <w:sz w:val="22"/>
                <w:szCs w:val="22"/>
                <w:lang w:val="en-US" w:eastAsia="tr-TR"/>
                <w14:ligatures w14:val="none"/>
              </w:rPr>
              <w:t xml:space="preserve"> Chain</w:t>
            </w:r>
          </w:p>
        </w:tc>
        <w:tc>
          <w:tcPr>
            <w:tcW w:w="2702" w:type="dxa"/>
            <w:vAlign w:val="center"/>
            <w:hideMark/>
          </w:tcPr>
          <w:p w14:paraId="47746192" w14:textId="77777777" w:rsidR="00AE1B8F" w:rsidRPr="00C4360F" w:rsidRDefault="00AE1B8F" w:rsidP="00F70538">
            <w:pPr>
              <w:rPr>
                <w:rFonts w:asciiTheme="majorHAnsi" w:eastAsia="Times New Roman" w:hAnsiTheme="majorHAnsi" w:cstheme="majorHAnsi"/>
                <w:i/>
                <w:iCs/>
                <w:kern w:val="0"/>
                <w:sz w:val="22"/>
                <w:szCs w:val="22"/>
                <w:lang w:val="en-US" w:eastAsia="tr-TR"/>
                <w14:ligatures w14:val="none"/>
              </w:rPr>
            </w:pPr>
            <w:r>
              <w:rPr>
                <w:rFonts w:asciiTheme="majorHAnsi" w:eastAsia="Times New Roman" w:hAnsiTheme="majorHAnsi" w:cstheme="majorHAnsi"/>
                <w:i/>
                <w:iCs/>
                <w:kern w:val="0"/>
                <w:sz w:val="22"/>
                <w:szCs w:val="22"/>
                <w:lang w:val="en-US" w:eastAsia="tr-TR"/>
                <w14:ligatures w14:val="none"/>
              </w:rPr>
              <w:t>Ergun Kahvecioğlu</w:t>
            </w:r>
          </w:p>
        </w:tc>
      </w:tr>
      <w:tr w:rsidR="00AE1B8F" w:rsidRPr="00BD06C1" w14:paraId="68900A55" w14:textId="77777777" w:rsidTr="00F70538">
        <w:trPr>
          <w:trHeight w:val="320"/>
          <w:tblCellSpacing w:w="15" w:type="dxa"/>
        </w:trPr>
        <w:tc>
          <w:tcPr>
            <w:tcW w:w="1399" w:type="dxa"/>
            <w:vAlign w:val="center"/>
            <w:hideMark/>
          </w:tcPr>
          <w:p w14:paraId="0345A5D6"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09:55 – 10:02</w:t>
            </w:r>
          </w:p>
        </w:tc>
        <w:tc>
          <w:tcPr>
            <w:tcW w:w="5040" w:type="dxa"/>
            <w:vAlign w:val="center"/>
            <w:hideMark/>
          </w:tcPr>
          <w:p w14:paraId="21F7BCBD"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7D2358">
              <w:rPr>
                <w:rFonts w:asciiTheme="majorHAnsi" w:eastAsia="Times New Roman" w:hAnsiTheme="majorHAnsi" w:cstheme="majorHAnsi"/>
                <w:b/>
                <w:bCs/>
                <w:i/>
                <w:iCs/>
                <w:kern w:val="0"/>
                <w:sz w:val="22"/>
                <w:szCs w:val="22"/>
                <w:lang w:val="en-US" w:eastAsia="tr-TR"/>
                <w14:ligatures w14:val="none"/>
              </w:rPr>
              <w:t>Walnut Value</w:t>
            </w:r>
            <w:r w:rsidRPr="00BD06C1">
              <w:rPr>
                <w:rFonts w:asciiTheme="majorHAnsi" w:eastAsia="Times New Roman" w:hAnsiTheme="majorHAnsi" w:cstheme="majorHAnsi"/>
                <w:i/>
                <w:iCs/>
                <w:kern w:val="0"/>
                <w:sz w:val="22"/>
                <w:szCs w:val="22"/>
                <w:lang w:val="en-US" w:eastAsia="tr-TR"/>
                <w14:ligatures w14:val="none"/>
              </w:rPr>
              <w:t xml:space="preserve"> Chain </w:t>
            </w:r>
          </w:p>
        </w:tc>
        <w:tc>
          <w:tcPr>
            <w:tcW w:w="2702" w:type="dxa"/>
            <w:vAlign w:val="center"/>
            <w:hideMark/>
          </w:tcPr>
          <w:p w14:paraId="381068C4" w14:textId="77777777" w:rsidR="00AE1B8F" w:rsidRPr="00C4360F" w:rsidRDefault="00AE1B8F" w:rsidP="00F70538">
            <w:pPr>
              <w:rPr>
                <w:rFonts w:asciiTheme="majorHAnsi" w:eastAsia="Times New Roman" w:hAnsiTheme="majorHAnsi" w:cstheme="majorHAnsi"/>
                <w:i/>
                <w:iCs/>
                <w:kern w:val="0"/>
                <w:sz w:val="22"/>
                <w:szCs w:val="22"/>
                <w:lang w:val="en-US" w:eastAsia="tr-TR"/>
                <w14:ligatures w14:val="none"/>
              </w:rPr>
            </w:pPr>
            <w:r>
              <w:rPr>
                <w:rFonts w:asciiTheme="majorHAnsi" w:eastAsia="Times New Roman" w:hAnsiTheme="majorHAnsi" w:cstheme="majorHAnsi"/>
                <w:i/>
                <w:iCs/>
                <w:kern w:val="0"/>
                <w:sz w:val="22"/>
                <w:szCs w:val="22"/>
                <w:lang w:val="en-US" w:eastAsia="tr-TR"/>
                <w14:ligatures w14:val="none"/>
              </w:rPr>
              <w:t xml:space="preserve">Dildora </w:t>
            </w:r>
            <w:proofErr w:type="spellStart"/>
            <w:r>
              <w:rPr>
                <w:rFonts w:asciiTheme="majorHAnsi" w:eastAsia="Times New Roman" w:hAnsiTheme="majorHAnsi" w:cstheme="majorHAnsi"/>
                <w:i/>
                <w:iCs/>
                <w:kern w:val="0"/>
                <w:sz w:val="22"/>
                <w:szCs w:val="22"/>
                <w:lang w:val="en-US" w:eastAsia="tr-TR"/>
                <w14:ligatures w14:val="none"/>
              </w:rPr>
              <w:t>Aralova</w:t>
            </w:r>
            <w:proofErr w:type="spellEnd"/>
          </w:p>
        </w:tc>
      </w:tr>
      <w:tr w:rsidR="00AE1B8F" w:rsidRPr="00BD06C1" w14:paraId="531BC74E" w14:textId="77777777" w:rsidTr="00F70538">
        <w:trPr>
          <w:trHeight w:val="320"/>
          <w:tblCellSpacing w:w="15" w:type="dxa"/>
        </w:trPr>
        <w:tc>
          <w:tcPr>
            <w:tcW w:w="1399" w:type="dxa"/>
            <w:vAlign w:val="center"/>
            <w:hideMark/>
          </w:tcPr>
          <w:p w14:paraId="78E944A1"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10:02 – 10:09</w:t>
            </w:r>
          </w:p>
        </w:tc>
        <w:tc>
          <w:tcPr>
            <w:tcW w:w="5040" w:type="dxa"/>
            <w:vAlign w:val="center"/>
            <w:hideMark/>
          </w:tcPr>
          <w:p w14:paraId="27FAC7F4"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7D2358">
              <w:rPr>
                <w:rFonts w:asciiTheme="majorHAnsi" w:eastAsia="Times New Roman" w:hAnsiTheme="majorHAnsi" w:cstheme="majorHAnsi"/>
                <w:b/>
                <w:bCs/>
                <w:i/>
                <w:iCs/>
                <w:kern w:val="0"/>
                <w:sz w:val="22"/>
                <w:szCs w:val="22"/>
                <w:lang w:val="en-US" w:eastAsia="tr-TR"/>
                <w14:ligatures w14:val="none"/>
              </w:rPr>
              <w:t>Porcini Mushrooms Value Chain</w:t>
            </w:r>
          </w:p>
        </w:tc>
        <w:tc>
          <w:tcPr>
            <w:tcW w:w="2702" w:type="dxa"/>
            <w:vAlign w:val="center"/>
            <w:hideMark/>
          </w:tcPr>
          <w:p w14:paraId="5AD5B208" w14:textId="77777777" w:rsidR="00AE1B8F" w:rsidRPr="00C4360F" w:rsidRDefault="00AE1B8F" w:rsidP="00F70538">
            <w:pPr>
              <w:rPr>
                <w:rFonts w:asciiTheme="majorHAnsi" w:eastAsia="Times New Roman" w:hAnsiTheme="majorHAnsi" w:cstheme="majorHAnsi"/>
                <w:i/>
                <w:iCs/>
                <w:kern w:val="0"/>
                <w:sz w:val="22"/>
                <w:szCs w:val="22"/>
                <w:lang w:val="en-US" w:eastAsia="tr-TR"/>
                <w14:ligatures w14:val="none"/>
              </w:rPr>
            </w:pPr>
            <w:r>
              <w:rPr>
                <w:rFonts w:asciiTheme="majorHAnsi" w:eastAsia="Times New Roman" w:hAnsiTheme="majorHAnsi" w:cstheme="majorHAnsi"/>
                <w:i/>
                <w:iCs/>
                <w:kern w:val="0"/>
                <w:sz w:val="22"/>
                <w:szCs w:val="22"/>
                <w:lang w:val="en-US" w:eastAsia="tr-TR"/>
                <w14:ligatures w14:val="none"/>
              </w:rPr>
              <w:t>İsmail Belen</w:t>
            </w:r>
          </w:p>
        </w:tc>
      </w:tr>
      <w:tr w:rsidR="00AE1B8F" w:rsidRPr="00BD06C1" w14:paraId="78BB05EB" w14:textId="77777777" w:rsidTr="00F70538">
        <w:trPr>
          <w:trHeight w:val="320"/>
          <w:tblCellSpacing w:w="15" w:type="dxa"/>
        </w:trPr>
        <w:tc>
          <w:tcPr>
            <w:tcW w:w="1399" w:type="dxa"/>
            <w:vAlign w:val="center"/>
            <w:hideMark/>
          </w:tcPr>
          <w:p w14:paraId="6BB9D27A"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10:09 – 10:13</w:t>
            </w:r>
          </w:p>
        </w:tc>
        <w:tc>
          <w:tcPr>
            <w:tcW w:w="5040" w:type="dxa"/>
            <w:vAlign w:val="center"/>
            <w:hideMark/>
          </w:tcPr>
          <w:p w14:paraId="52CC75AD"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Summary and Key Messages for Case Studies</w:t>
            </w:r>
          </w:p>
        </w:tc>
        <w:tc>
          <w:tcPr>
            <w:tcW w:w="2702" w:type="dxa"/>
            <w:vAlign w:val="center"/>
          </w:tcPr>
          <w:p w14:paraId="08CB424C" w14:textId="77777777" w:rsidR="00AE1B8F" w:rsidRPr="00C4360F" w:rsidRDefault="00AE1B8F" w:rsidP="00F70538">
            <w:pPr>
              <w:rPr>
                <w:rFonts w:asciiTheme="majorHAnsi" w:eastAsia="Times New Roman" w:hAnsiTheme="majorHAnsi" w:cstheme="majorHAnsi"/>
                <w:i/>
                <w:iCs/>
                <w:kern w:val="0"/>
                <w:sz w:val="22"/>
                <w:szCs w:val="22"/>
                <w:lang w:val="en-US" w:eastAsia="tr-TR"/>
                <w14:ligatures w14:val="none"/>
              </w:rPr>
            </w:pPr>
            <w:r>
              <w:rPr>
                <w:rFonts w:asciiTheme="majorHAnsi" w:eastAsia="Times New Roman" w:hAnsiTheme="majorHAnsi" w:cstheme="majorHAnsi"/>
                <w:i/>
                <w:iCs/>
                <w:kern w:val="0"/>
                <w:sz w:val="22"/>
                <w:szCs w:val="22"/>
                <w:lang w:val="en-US" w:eastAsia="tr-TR"/>
                <w14:ligatures w14:val="none"/>
              </w:rPr>
              <w:t>İsmail Belen</w:t>
            </w:r>
          </w:p>
        </w:tc>
      </w:tr>
      <w:tr w:rsidR="00AE1B8F" w:rsidRPr="00BD06C1" w14:paraId="45562B92" w14:textId="77777777" w:rsidTr="00F70538">
        <w:trPr>
          <w:trHeight w:val="320"/>
          <w:tblCellSpacing w:w="15" w:type="dxa"/>
        </w:trPr>
        <w:tc>
          <w:tcPr>
            <w:tcW w:w="1399" w:type="dxa"/>
            <w:vAlign w:val="center"/>
            <w:hideMark/>
          </w:tcPr>
          <w:p w14:paraId="39DEFDEF"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10:13 – 10:30</w:t>
            </w:r>
          </w:p>
        </w:tc>
        <w:tc>
          <w:tcPr>
            <w:tcW w:w="5040" w:type="dxa"/>
            <w:vAlign w:val="center"/>
            <w:hideMark/>
          </w:tcPr>
          <w:p w14:paraId="3AC09384" w14:textId="77777777" w:rsidR="00AE1B8F" w:rsidRPr="00BD06C1" w:rsidRDefault="00AE1B8F" w:rsidP="00F70538">
            <w:pPr>
              <w:rPr>
                <w:rFonts w:asciiTheme="majorHAnsi" w:eastAsia="Times New Roman" w:hAnsiTheme="majorHAnsi" w:cstheme="majorHAnsi"/>
                <w:i/>
                <w:iCs/>
                <w:kern w:val="0"/>
                <w:sz w:val="22"/>
                <w:szCs w:val="22"/>
                <w:lang w:val="en-US" w:eastAsia="tr-TR"/>
                <w14:ligatures w14:val="none"/>
              </w:rPr>
            </w:pPr>
            <w:r w:rsidRPr="00BD06C1">
              <w:rPr>
                <w:rFonts w:asciiTheme="majorHAnsi" w:eastAsia="Times New Roman" w:hAnsiTheme="majorHAnsi" w:cstheme="majorHAnsi"/>
                <w:i/>
                <w:iCs/>
                <w:kern w:val="0"/>
                <w:sz w:val="22"/>
                <w:szCs w:val="22"/>
                <w:lang w:val="en-US" w:eastAsia="tr-TR"/>
                <w14:ligatures w14:val="none"/>
              </w:rPr>
              <w:t>General Q&amp;A for Case Studies</w:t>
            </w:r>
          </w:p>
        </w:tc>
        <w:tc>
          <w:tcPr>
            <w:tcW w:w="2702" w:type="dxa"/>
            <w:vAlign w:val="center"/>
          </w:tcPr>
          <w:p w14:paraId="08E7F2B1" w14:textId="77777777" w:rsidR="00AE1B8F" w:rsidRPr="00C4360F" w:rsidRDefault="00AE1B8F" w:rsidP="00F70538">
            <w:pPr>
              <w:rPr>
                <w:rFonts w:asciiTheme="majorHAnsi" w:eastAsia="Times New Roman" w:hAnsiTheme="majorHAnsi" w:cstheme="majorHAnsi"/>
                <w:i/>
                <w:iCs/>
                <w:kern w:val="0"/>
                <w:sz w:val="22"/>
                <w:szCs w:val="22"/>
                <w:lang w:val="en-US" w:eastAsia="tr-TR"/>
                <w14:ligatures w14:val="none"/>
              </w:rPr>
            </w:pPr>
          </w:p>
        </w:tc>
      </w:tr>
      <w:tr w:rsidR="00AE1B8F" w:rsidRPr="00BD06C1" w14:paraId="19C4138A" w14:textId="77777777" w:rsidTr="00F70538">
        <w:trPr>
          <w:trHeight w:val="639"/>
          <w:tblCellSpacing w:w="15" w:type="dxa"/>
        </w:trPr>
        <w:tc>
          <w:tcPr>
            <w:tcW w:w="1399" w:type="dxa"/>
            <w:vAlign w:val="center"/>
            <w:hideMark/>
          </w:tcPr>
          <w:p w14:paraId="15D24D85"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10:30 – 1</w:t>
            </w:r>
            <w:r>
              <w:rPr>
                <w:rFonts w:asciiTheme="majorHAnsi" w:eastAsia="Times New Roman" w:hAnsiTheme="majorHAnsi" w:cstheme="majorHAnsi"/>
                <w:kern w:val="0"/>
                <w:sz w:val="22"/>
                <w:szCs w:val="22"/>
                <w:lang w:val="en-US" w:eastAsia="tr-TR"/>
                <w14:ligatures w14:val="none"/>
              </w:rPr>
              <w:t>1</w:t>
            </w:r>
            <w:r w:rsidRPr="00BD06C1">
              <w:rPr>
                <w:rFonts w:asciiTheme="majorHAnsi" w:eastAsia="Times New Roman" w:hAnsiTheme="majorHAnsi" w:cstheme="majorHAnsi"/>
                <w:kern w:val="0"/>
                <w:sz w:val="22"/>
                <w:szCs w:val="22"/>
                <w:lang w:val="en-US" w:eastAsia="tr-TR"/>
                <w14:ligatures w14:val="none"/>
              </w:rPr>
              <w:t>:</w:t>
            </w:r>
            <w:r>
              <w:rPr>
                <w:rFonts w:asciiTheme="majorHAnsi" w:eastAsia="Times New Roman" w:hAnsiTheme="majorHAnsi" w:cstheme="majorHAnsi"/>
                <w:kern w:val="0"/>
                <w:sz w:val="22"/>
                <w:szCs w:val="22"/>
                <w:lang w:val="en-US" w:eastAsia="tr-TR"/>
                <w14:ligatures w14:val="none"/>
              </w:rPr>
              <w:t>20</w:t>
            </w:r>
          </w:p>
        </w:tc>
        <w:tc>
          <w:tcPr>
            <w:tcW w:w="5040" w:type="dxa"/>
            <w:vAlign w:val="center"/>
            <w:hideMark/>
          </w:tcPr>
          <w:p w14:paraId="3FF493C0"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Practical Considerations for Application of the Guidelines and Suggested Roadmap</w:t>
            </w:r>
          </w:p>
        </w:tc>
        <w:tc>
          <w:tcPr>
            <w:tcW w:w="2702" w:type="dxa"/>
            <w:vAlign w:val="center"/>
            <w:hideMark/>
          </w:tcPr>
          <w:p w14:paraId="24D4FB94"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Pr>
                <w:rFonts w:asciiTheme="majorHAnsi" w:eastAsia="Times New Roman" w:hAnsiTheme="majorHAnsi" w:cstheme="majorHAnsi"/>
                <w:kern w:val="0"/>
                <w:sz w:val="22"/>
                <w:szCs w:val="22"/>
                <w:lang w:val="en-US" w:eastAsia="tr-TR"/>
                <w14:ligatures w14:val="none"/>
              </w:rPr>
              <w:t>Dr. Çağlar Başsüllü</w:t>
            </w:r>
          </w:p>
        </w:tc>
      </w:tr>
      <w:tr w:rsidR="00AE1B8F" w:rsidRPr="00BD06C1" w14:paraId="2653878D" w14:textId="77777777" w:rsidTr="00F70538">
        <w:trPr>
          <w:trHeight w:val="336"/>
          <w:tblCellSpacing w:w="15" w:type="dxa"/>
        </w:trPr>
        <w:tc>
          <w:tcPr>
            <w:tcW w:w="1399" w:type="dxa"/>
            <w:vAlign w:val="center"/>
            <w:hideMark/>
          </w:tcPr>
          <w:p w14:paraId="122E6682"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Pr>
                <w:rFonts w:asciiTheme="majorHAnsi" w:eastAsia="Times New Roman" w:hAnsiTheme="majorHAnsi" w:cstheme="majorHAnsi"/>
                <w:kern w:val="0"/>
                <w:sz w:val="22"/>
                <w:szCs w:val="22"/>
                <w:lang w:val="en-US" w:eastAsia="tr-TR"/>
                <w14:ligatures w14:val="none"/>
              </w:rPr>
              <w:t>11:20</w:t>
            </w:r>
            <w:r w:rsidRPr="00BD06C1">
              <w:rPr>
                <w:rFonts w:asciiTheme="majorHAnsi" w:eastAsia="Times New Roman" w:hAnsiTheme="majorHAnsi" w:cstheme="majorHAnsi"/>
                <w:kern w:val="0"/>
                <w:sz w:val="22"/>
                <w:szCs w:val="22"/>
                <w:lang w:val="en-US" w:eastAsia="tr-TR"/>
                <w14:ligatures w14:val="none"/>
              </w:rPr>
              <w:t xml:space="preserve"> – </w:t>
            </w:r>
            <w:r>
              <w:rPr>
                <w:rFonts w:asciiTheme="majorHAnsi" w:eastAsia="Times New Roman" w:hAnsiTheme="majorHAnsi" w:cstheme="majorHAnsi"/>
                <w:kern w:val="0"/>
                <w:sz w:val="22"/>
                <w:szCs w:val="22"/>
                <w:lang w:val="en-US" w:eastAsia="tr-TR"/>
                <w14:ligatures w14:val="none"/>
              </w:rPr>
              <w:t>11:30</w:t>
            </w:r>
          </w:p>
        </w:tc>
        <w:tc>
          <w:tcPr>
            <w:tcW w:w="5040" w:type="dxa"/>
            <w:vAlign w:val="center"/>
            <w:hideMark/>
          </w:tcPr>
          <w:p w14:paraId="191F46BF"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Q&amp;A for Practical Application Session</w:t>
            </w:r>
          </w:p>
        </w:tc>
        <w:tc>
          <w:tcPr>
            <w:tcW w:w="2702" w:type="dxa"/>
            <w:vAlign w:val="center"/>
            <w:hideMark/>
          </w:tcPr>
          <w:p w14:paraId="5FE9C5BB"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Pr>
                <w:rFonts w:asciiTheme="majorHAnsi" w:eastAsia="Times New Roman" w:hAnsiTheme="majorHAnsi" w:cstheme="majorHAnsi"/>
                <w:kern w:val="0"/>
                <w:sz w:val="22"/>
                <w:szCs w:val="22"/>
                <w:lang w:val="en-US" w:eastAsia="tr-TR"/>
                <w14:ligatures w14:val="none"/>
              </w:rPr>
              <w:t>Dr. Çağlar Başsüllü</w:t>
            </w:r>
          </w:p>
        </w:tc>
      </w:tr>
      <w:tr w:rsidR="00AE1B8F" w:rsidRPr="00BD06C1" w14:paraId="2EB1B480" w14:textId="77777777" w:rsidTr="00F70538">
        <w:trPr>
          <w:trHeight w:val="320"/>
          <w:tblCellSpacing w:w="15" w:type="dxa"/>
        </w:trPr>
        <w:tc>
          <w:tcPr>
            <w:tcW w:w="1399" w:type="dxa"/>
            <w:vAlign w:val="center"/>
            <w:hideMark/>
          </w:tcPr>
          <w:p w14:paraId="6D840649"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1</w:t>
            </w:r>
            <w:r>
              <w:rPr>
                <w:rFonts w:asciiTheme="majorHAnsi" w:eastAsia="Times New Roman" w:hAnsiTheme="majorHAnsi" w:cstheme="majorHAnsi"/>
                <w:kern w:val="0"/>
                <w:sz w:val="22"/>
                <w:szCs w:val="22"/>
                <w:lang w:val="en-US" w:eastAsia="tr-TR"/>
                <w14:ligatures w14:val="none"/>
              </w:rPr>
              <w:t>1:30</w:t>
            </w:r>
            <w:r w:rsidRPr="00BD06C1">
              <w:rPr>
                <w:rFonts w:asciiTheme="majorHAnsi" w:eastAsia="Times New Roman" w:hAnsiTheme="majorHAnsi" w:cstheme="majorHAnsi"/>
                <w:kern w:val="0"/>
                <w:sz w:val="22"/>
                <w:szCs w:val="22"/>
                <w:lang w:val="en-US" w:eastAsia="tr-TR"/>
                <w14:ligatures w14:val="none"/>
              </w:rPr>
              <w:t xml:space="preserve"> – </w:t>
            </w:r>
            <w:r>
              <w:rPr>
                <w:rFonts w:asciiTheme="majorHAnsi" w:eastAsia="Times New Roman" w:hAnsiTheme="majorHAnsi" w:cstheme="majorHAnsi"/>
                <w:kern w:val="0"/>
                <w:sz w:val="22"/>
                <w:szCs w:val="22"/>
                <w:lang w:val="en-US" w:eastAsia="tr-TR"/>
                <w14:ligatures w14:val="none"/>
              </w:rPr>
              <w:t>12:00</w:t>
            </w:r>
          </w:p>
        </w:tc>
        <w:tc>
          <w:tcPr>
            <w:tcW w:w="5040" w:type="dxa"/>
            <w:vAlign w:val="center"/>
            <w:hideMark/>
          </w:tcPr>
          <w:p w14:paraId="7CF20518"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BD06C1">
              <w:rPr>
                <w:rFonts w:asciiTheme="majorHAnsi" w:eastAsia="Times New Roman" w:hAnsiTheme="majorHAnsi" w:cstheme="majorHAnsi"/>
                <w:kern w:val="0"/>
                <w:sz w:val="22"/>
                <w:szCs w:val="22"/>
                <w:lang w:val="en-US" w:eastAsia="tr-TR"/>
                <w14:ligatures w14:val="none"/>
              </w:rPr>
              <w:t>Final Q&amp;A and Closing Remarks</w:t>
            </w:r>
          </w:p>
        </w:tc>
        <w:tc>
          <w:tcPr>
            <w:tcW w:w="2702" w:type="dxa"/>
            <w:vAlign w:val="center"/>
            <w:hideMark/>
          </w:tcPr>
          <w:p w14:paraId="6BBA5D2E" w14:textId="77777777" w:rsidR="00AE1B8F" w:rsidRDefault="00AE1B8F" w:rsidP="00F70538">
            <w:pPr>
              <w:rPr>
                <w:rFonts w:asciiTheme="majorHAnsi" w:eastAsia="Times New Roman" w:hAnsiTheme="majorHAnsi" w:cstheme="majorHAnsi"/>
                <w:kern w:val="0"/>
                <w:sz w:val="22"/>
                <w:szCs w:val="22"/>
                <w:lang w:val="en-US" w:eastAsia="tr-TR"/>
                <w14:ligatures w14:val="none"/>
              </w:rPr>
            </w:pPr>
            <w:r>
              <w:rPr>
                <w:rFonts w:asciiTheme="majorHAnsi" w:eastAsia="Times New Roman" w:hAnsiTheme="majorHAnsi" w:cstheme="majorHAnsi"/>
                <w:kern w:val="0"/>
                <w:sz w:val="22"/>
                <w:szCs w:val="22"/>
                <w:lang w:val="en-US" w:eastAsia="tr-TR"/>
                <w14:ligatures w14:val="none"/>
              </w:rPr>
              <w:t xml:space="preserve">Sema </w:t>
            </w:r>
            <w:proofErr w:type="spellStart"/>
            <w:r>
              <w:rPr>
                <w:rFonts w:asciiTheme="majorHAnsi" w:eastAsia="Times New Roman" w:hAnsiTheme="majorHAnsi" w:cstheme="majorHAnsi"/>
                <w:kern w:val="0"/>
                <w:sz w:val="22"/>
                <w:szCs w:val="22"/>
                <w:lang w:val="en-US" w:eastAsia="tr-TR"/>
                <w14:ligatures w14:val="none"/>
              </w:rPr>
              <w:t>Altunay</w:t>
            </w:r>
            <w:proofErr w:type="spellEnd"/>
            <w:r>
              <w:rPr>
                <w:rFonts w:asciiTheme="majorHAnsi" w:eastAsia="Times New Roman" w:hAnsiTheme="majorHAnsi" w:cstheme="majorHAnsi"/>
                <w:kern w:val="0"/>
                <w:sz w:val="22"/>
                <w:szCs w:val="22"/>
                <w:lang w:val="en-US" w:eastAsia="tr-TR"/>
                <w14:ligatures w14:val="none"/>
              </w:rPr>
              <w:t>-OGM</w:t>
            </w:r>
          </w:p>
          <w:p w14:paraId="6795AA77" w14:textId="77777777" w:rsidR="00AE1B8F" w:rsidRDefault="00AE1B8F" w:rsidP="00F70538">
            <w:pPr>
              <w:rPr>
                <w:rFonts w:asciiTheme="majorHAnsi" w:eastAsia="Times New Roman" w:hAnsiTheme="majorHAnsi" w:cstheme="majorHAnsi"/>
                <w:kern w:val="0"/>
                <w:sz w:val="22"/>
                <w:szCs w:val="22"/>
                <w:lang w:val="en-US" w:eastAsia="tr-TR"/>
                <w14:ligatures w14:val="none"/>
              </w:rPr>
            </w:pPr>
            <w:r>
              <w:rPr>
                <w:rFonts w:asciiTheme="majorHAnsi" w:eastAsia="Times New Roman" w:hAnsiTheme="majorHAnsi" w:cstheme="majorHAnsi"/>
                <w:kern w:val="0"/>
                <w:sz w:val="22"/>
                <w:szCs w:val="22"/>
                <w:lang w:val="en-US" w:eastAsia="tr-TR"/>
                <w14:ligatures w14:val="none"/>
              </w:rPr>
              <w:t>İsmail Belen-OMO</w:t>
            </w:r>
          </w:p>
          <w:p w14:paraId="73B981B3" w14:textId="77777777" w:rsidR="00AE1B8F" w:rsidRPr="00BD06C1" w:rsidRDefault="00AE1B8F" w:rsidP="00F70538">
            <w:pPr>
              <w:rPr>
                <w:rFonts w:asciiTheme="majorHAnsi" w:eastAsia="Times New Roman" w:hAnsiTheme="majorHAnsi" w:cstheme="majorHAnsi"/>
                <w:kern w:val="0"/>
                <w:sz w:val="22"/>
                <w:szCs w:val="22"/>
                <w:lang w:val="en-US" w:eastAsia="tr-TR"/>
                <w14:ligatures w14:val="none"/>
              </w:rPr>
            </w:pPr>
            <w:r w:rsidRPr="00DB2B26">
              <w:rPr>
                <w:rFonts w:asciiTheme="majorHAnsi" w:eastAsia="Times New Roman" w:hAnsiTheme="majorHAnsi" w:cstheme="majorHAnsi"/>
                <w:kern w:val="0"/>
                <w:sz w:val="22"/>
                <w:szCs w:val="22"/>
                <w:lang w:val="en-US" w:eastAsia="tr-TR"/>
                <w14:ligatures w14:val="none"/>
              </w:rPr>
              <w:t>Dr Peter Pechacek</w:t>
            </w:r>
            <w:r>
              <w:rPr>
                <w:rFonts w:asciiTheme="majorHAnsi" w:eastAsia="Times New Roman" w:hAnsiTheme="majorHAnsi" w:cstheme="majorHAnsi"/>
                <w:kern w:val="0"/>
                <w:sz w:val="22"/>
                <w:szCs w:val="22"/>
                <w:lang w:val="en-US" w:eastAsia="tr-TR"/>
                <w14:ligatures w14:val="none"/>
              </w:rPr>
              <w:t>-FAO</w:t>
            </w:r>
          </w:p>
        </w:tc>
      </w:tr>
    </w:tbl>
    <w:p w14:paraId="789555BC" w14:textId="77777777" w:rsidR="00753E0A" w:rsidRDefault="00753E0A" w:rsidP="008B1EDD">
      <w:pPr>
        <w:rPr>
          <w:rFonts w:asciiTheme="majorHAnsi" w:hAnsiTheme="majorHAnsi" w:cstheme="majorHAnsi"/>
          <w:b/>
          <w:bCs/>
          <w:sz w:val="22"/>
          <w:szCs w:val="22"/>
          <w:lang w:val="en-US"/>
        </w:rPr>
      </w:pPr>
    </w:p>
    <w:p w14:paraId="3DE13500" w14:textId="77777777" w:rsidR="00EE29C8" w:rsidRPr="00BD06C1" w:rsidRDefault="00EE29C8" w:rsidP="00EE29C8">
      <w:pPr>
        <w:rPr>
          <w:rFonts w:asciiTheme="majorHAnsi" w:hAnsiTheme="majorHAnsi" w:cstheme="majorHAnsi"/>
          <w:i/>
          <w:iCs/>
          <w:sz w:val="22"/>
          <w:szCs w:val="22"/>
          <w:lang w:val="en-US"/>
        </w:rPr>
      </w:pPr>
      <w:r>
        <w:rPr>
          <w:rFonts w:asciiTheme="majorHAnsi" w:hAnsiTheme="majorHAnsi" w:cstheme="majorHAnsi"/>
          <w:sz w:val="22"/>
          <w:szCs w:val="22"/>
          <w:lang w:val="en-US"/>
        </w:rPr>
        <w:t xml:space="preserve">Interpreters: </w:t>
      </w:r>
    </w:p>
    <w:p w14:paraId="102988BA" w14:textId="4387328B" w:rsidR="00EE29C8" w:rsidRDefault="00EE29C8" w:rsidP="008B1EDD">
      <w:pPr>
        <w:rPr>
          <w:rFonts w:asciiTheme="majorHAnsi" w:hAnsiTheme="majorHAnsi" w:cstheme="majorHAnsi"/>
          <w:b/>
          <w:bCs/>
          <w:sz w:val="22"/>
          <w:szCs w:val="22"/>
          <w:lang w:val="en-US"/>
        </w:rPr>
      </w:pPr>
      <w:r>
        <w:rPr>
          <w:rFonts w:asciiTheme="majorHAnsi" w:hAnsiTheme="majorHAnsi" w:cstheme="majorHAnsi"/>
          <w:b/>
          <w:bCs/>
          <w:sz w:val="22"/>
          <w:szCs w:val="22"/>
          <w:lang w:val="en-US"/>
        </w:rPr>
        <w:t>Russian: Özer Arcan</w:t>
      </w:r>
    </w:p>
    <w:p w14:paraId="2FCDB2C5" w14:textId="20CDE6AD" w:rsidR="00EE29C8" w:rsidRPr="00BD06C1" w:rsidRDefault="00EE29C8" w:rsidP="008B1EDD">
      <w:pPr>
        <w:rPr>
          <w:rFonts w:asciiTheme="majorHAnsi" w:hAnsiTheme="majorHAnsi" w:cstheme="majorHAnsi"/>
          <w:b/>
          <w:bCs/>
          <w:sz w:val="22"/>
          <w:szCs w:val="22"/>
          <w:lang w:val="en-US"/>
        </w:rPr>
      </w:pPr>
      <w:r>
        <w:rPr>
          <w:rFonts w:asciiTheme="majorHAnsi" w:hAnsiTheme="majorHAnsi" w:cstheme="majorHAnsi"/>
          <w:b/>
          <w:bCs/>
          <w:sz w:val="22"/>
          <w:szCs w:val="22"/>
          <w:lang w:val="en-US"/>
        </w:rPr>
        <w:t>English: Aktan Aydoğmuş</w:t>
      </w:r>
    </w:p>
    <w:sectPr w:rsidR="00EE29C8" w:rsidRPr="00BD06C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40DB4" w14:textId="77777777" w:rsidR="00EA66DC" w:rsidRDefault="00EA66DC" w:rsidP="006E4ED3">
      <w:r>
        <w:separator/>
      </w:r>
    </w:p>
  </w:endnote>
  <w:endnote w:type="continuationSeparator" w:id="0">
    <w:p w14:paraId="7FDC0EEE" w14:textId="77777777" w:rsidR="00EA66DC" w:rsidRDefault="00EA66DC" w:rsidP="006E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042284"/>
      <w:docPartObj>
        <w:docPartGallery w:val="Page Numbers (Bottom of Page)"/>
        <w:docPartUnique/>
      </w:docPartObj>
    </w:sdtPr>
    <w:sdtContent>
      <w:p w14:paraId="5ADD0589" w14:textId="48432D67" w:rsidR="006E4ED3" w:rsidRDefault="006E4ED3">
        <w:pPr>
          <w:pStyle w:val="AltBilgi"/>
          <w:jc w:val="right"/>
        </w:pPr>
        <w:r>
          <w:t xml:space="preserve">Page </w:t>
        </w:r>
        <w:r>
          <w:fldChar w:fldCharType="begin"/>
        </w:r>
        <w:r>
          <w:instrText>PAGE   \* MERGEFORMAT</w:instrText>
        </w:r>
        <w:r>
          <w:fldChar w:fldCharType="separate"/>
        </w:r>
        <w:r>
          <w:t>2</w:t>
        </w:r>
        <w:r>
          <w:fldChar w:fldCharType="end"/>
        </w:r>
        <w:r>
          <w:t xml:space="preserve">/ </w:t>
        </w:r>
        <w:fldSimple w:instr=" NUMPAGES   \* MERGEFORMAT ">
          <w:r>
            <w:rPr>
              <w:noProof/>
            </w:rPr>
            <w:t>3</w:t>
          </w:r>
        </w:fldSimple>
      </w:p>
    </w:sdtContent>
  </w:sdt>
  <w:p w14:paraId="6B472767" w14:textId="77777777" w:rsidR="006E4ED3" w:rsidRDefault="006E4E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D14FA" w14:textId="77777777" w:rsidR="00EA66DC" w:rsidRDefault="00EA66DC" w:rsidP="006E4ED3">
      <w:r>
        <w:separator/>
      </w:r>
    </w:p>
  </w:footnote>
  <w:footnote w:type="continuationSeparator" w:id="0">
    <w:p w14:paraId="3187FBB1" w14:textId="77777777" w:rsidR="00EA66DC" w:rsidRDefault="00EA66DC" w:rsidP="006E4E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D5F3D"/>
    <w:multiLevelType w:val="multilevel"/>
    <w:tmpl w:val="CD7ED5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7F1CDB"/>
    <w:multiLevelType w:val="multilevel"/>
    <w:tmpl w:val="43407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F6C21"/>
    <w:multiLevelType w:val="multilevel"/>
    <w:tmpl w:val="106E9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2034F3"/>
    <w:multiLevelType w:val="multilevel"/>
    <w:tmpl w:val="08586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6F4DAF"/>
    <w:multiLevelType w:val="multilevel"/>
    <w:tmpl w:val="ED405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315E37"/>
    <w:multiLevelType w:val="multilevel"/>
    <w:tmpl w:val="637E4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07C93"/>
    <w:multiLevelType w:val="multilevel"/>
    <w:tmpl w:val="C9EE5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A42DAD"/>
    <w:multiLevelType w:val="multilevel"/>
    <w:tmpl w:val="12245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0C6DC6"/>
    <w:multiLevelType w:val="multilevel"/>
    <w:tmpl w:val="2A72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B8395C"/>
    <w:multiLevelType w:val="multilevel"/>
    <w:tmpl w:val="64AEE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C01462"/>
    <w:multiLevelType w:val="multilevel"/>
    <w:tmpl w:val="5E4C08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BE3D14"/>
    <w:multiLevelType w:val="multilevel"/>
    <w:tmpl w:val="B0BC8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D93D33"/>
    <w:multiLevelType w:val="multilevel"/>
    <w:tmpl w:val="34F063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0E06D9"/>
    <w:multiLevelType w:val="multilevel"/>
    <w:tmpl w:val="DEF4E9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6C5CCE"/>
    <w:multiLevelType w:val="multilevel"/>
    <w:tmpl w:val="31BC88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951DB8"/>
    <w:multiLevelType w:val="multilevel"/>
    <w:tmpl w:val="8D126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0E729FA"/>
    <w:multiLevelType w:val="multilevel"/>
    <w:tmpl w:val="4D5AE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1B53BD"/>
    <w:multiLevelType w:val="multilevel"/>
    <w:tmpl w:val="94503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0640285">
    <w:abstractNumId w:val="5"/>
  </w:num>
  <w:num w:numId="2" w16cid:durableId="1357344697">
    <w:abstractNumId w:val="9"/>
  </w:num>
  <w:num w:numId="3" w16cid:durableId="1289237763">
    <w:abstractNumId w:val="8"/>
  </w:num>
  <w:num w:numId="4" w16cid:durableId="2145417098">
    <w:abstractNumId w:val="15"/>
  </w:num>
  <w:num w:numId="5" w16cid:durableId="1882204476">
    <w:abstractNumId w:val="13"/>
  </w:num>
  <w:num w:numId="6" w16cid:durableId="606036962">
    <w:abstractNumId w:val="3"/>
  </w:num>
  <w:num w:numId="7" w16cid:durableId="2115010021">
    <w:abstractNumId w:val="4"/>
  </w:num>
  <w:num w:numId="8" w16cid:durableId="800467084">
    <w:abstractNumId w:val="0"/>
  </w:num>
  <w:num w:numId="9" w16cid:durableId="62607740">
    <w:abstractNumId w:val="7"/>
  </w:num>
  <w:num w:numId="10" w16cid:durableId="641814015">
    <w:abstractNumId w:val="1"/>
  </w:num>
  <w:num w:numId="11" w16cid:durableId="1981880093">
    <w:abstractNumId w:val="14"/>
  </w:num>
  <w:num w:numId="12" w16cid:durableId="1711108483">
    <w:abstractNumId w:val="6"/>
  </w:num>
  <w:num w:numId="13" w16cid:durableId="2051606615">
    <w:abstractNumId w:val="17"/>
  </w:num>
  <w:num w:numId="14" w16cid:durableId="1330332141">
    <w:abstractNumId w:val="2"/>
  </w:num>
  <w:num w:numId="15" w16cid:durableId="352390310">
    <w:abstractNumId w:val="16"/>
  </w:num>
  <w:num w:numId="16" w16cid:durableId="1327591690">
    <w:abstractNumId w:val="10"/>
  </w:num>
  <w:num w:numId="17" w16cid:durableId="1466780222">
    <w:abstractNumId w:val="11"/>
  </w:num>
  <w:num w:numId="18" w16cid:durableId="263198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B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1"/>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3FF"/>
    <w:rsid w:val="00012FDF"/>
    <w:rsid w:val="00060CB6"/>
    <w:rsid w:val="000E02D6"/>
    <w:rsid w:val="000F1CFB"/>
    <w:rsid w:val="000F2837"/>
    <w:rsid w:val="001414FF"/>
    <w:rsid w:val="001C05D9"/>
    <w:rsid w:val="001C1ED3"/>
    <w:rsid w:val="001F7E17"/>
    <w:rsid w:val="00214812"/>
    <w:rsid w:val="002301D9"/>
    <w:rsid w:val="0026376F"/>
    <w:rsid w:val="002D5E89"/>
    <w:rsid w:val="002E12DB"/>
    <w:rsid w:val="002E5A10"/>
    <w:rsid w:val="002F124A"/>
    <w:rsid w:val="003661C6"/>
    <w:rsid w:val="00391687"/>
    <w:rsid w:val="003967E3"/>
    <w:rsid w:val="003D30B7"/>
    <w:rsid w:val="004628D6"/>
    <w:rsid w:val="004863FF"/>
    <w:rsid w:val="00486C61"/>
    <w:rsid w:val="004B4084"/>
    <w:rsid w:val="0051418F"/>
    <w:rsid w:val="00543042"/>
    <w:rsid w:val="00577312"/>
    <w:rsid w:val="00603155"/>
    <w:rsid w:val="006722BD"/>
    <w:rsid w:val="0068599A"/>
    <w:rsid w:val="006E482F"/>
    <w:rsid w:val="006E4ED3"/>
    <w:rsid w:val="00737950"/>
    <w:rsid w:val="00742FF4"/>
    <w:rsid w:val="00753E0A"/>
    <w:rsid w:val="00772FED"/>
    <w:rsid w:val="007731E8"/>
    <w:rsid w:val="007805AC"/>
    <w:rsid w:val="00782D24"/>
    <w:rsid w:val="007918C0"/>
    <w:rsid w:val="007B29B5"/>
    <w:rsid w:val="007C6D9C"/>
    <w:rsid w:val="007D2358"/>
    <w:rsid w:val="007F3975"/>
    <w:rsid w:val="008100E8"/>
    <w:rsid w:val="00816CD3"/>
    <w:rsid w:val="008373E9"/>
    <w:rsid w:val="0084525B"/>
    <w:rsid w:val="008570C9"/>
    <w:rsid w:val="00866565"/>
    <w:rsid w:val="00866FD4"/>
    <w:rsid w:val="00892883"/>
    <w:rsid w:val="008B1EDD"/>
    <w:rsid w:val="008C05A0"/>
    <w:rsid w:val="008E5B84"/>
    <w:rsid w:val="008F5C8E"/>
    <w:rsid w:val="00910068"/>
    <w:rsid w:val="00956B55"/>
    <w:rsid w:val="00984505"/>
    <w:rsid w:val="009B2CF1"/>
    <w:rsid w:val="009D0DF9"/>
    <w:rsid w:val="009E34AD"/>
    <w:rsid w:val="00A0556E"/>
    <w:rsid w:val="00A567CB"/>
    <w:rsid w:val="00A64A15"/>
    <w:rsid w:val="00A87D5B"/>
    <w:rsid w:val="00AB68C6"/>
    <w:rsid w:val="00AC3E51"/>
    <w:rsid w:val="00AE1B8F"/>
    <w:rsid w:val="00B427C8"/>
    <w:rsid w:val="00B5715F"/>
    <w:rsid w:val="00B659B4"/>
    <w:rsid w:val="00B82690"/>
    <w:rsid w:val="00BA113E"/>
    <w:rsid w:val="00BB1956"/>
    <w:rsid w:val="00BC59B3"/>
    <w:rsid w:val="00BD03D3"/>
    <w:rsid w:val="00BD06C1"/>
    <w:rsid w:val="00C4360F"/>
    <w:rsid w:val="00C663BD"/>
    <w:rsid w:val="00CB54E9"/>
    <w:rsid w:val="00D01615"/>
    <w:rsid w:val="00D20D0C"/>
    <w:rsid w:val="00D77C2E"/>
    <w:rsid w:val="00DA234F"/>
    <w:rsid w:val="00DB2B26"/>
    <w:rsid w:val="00DB3F36"/>
    <w:rsid w:val="00DD7094"/>
    <w:rsid w:val="00DE5D9C"/>
    <w:rsid w:val="00E02A20"/>
    <w:rsid w:val="00E6220F"/>
    <w:rsid w:val="00E90917"/>
    <w:rsid w:val="00E91FDC"/>
    <w:rsid w:val="00EA66DC"/>
    <w:rsid w:val="00EB297D"/>
    <w:rsid w:val="00EB5166"/>
    <w:rsid w:val="00ED3D66"/>
    <w:rsid w:val="00EE29C8"/>
    <w:rsid w:val="00F36EAD"/>
    <w:rsid w:val="00FB1D1E"/>
    <w:rsid w:val="00FB338B"/>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73E28"/>
  <w15:chartTrackingRefBased/>
  <w15:docId w15:val="{2B705627-A9D2-4304-B5AC-90691B1E6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D9C"/>
  </w:style>
  <w:style w:type="paragraph" w:styleId="Balk1">
    <w:name w:val="heading 1"/>
    <w:basedOn w:val="Normal"/>
    <w:next w:val="Normal"/>
    <w:link w:val="Balk1Char"/>
    <w:uiPriority w:val="9"/>
    <w:qFormat/>
    <w:rsid w:val="00B427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4863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4863F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4863F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Balk5">
    <w:name w:val="heading 5"/>
    <w:basedOn w:val="Normal"/>
    <w:next w:val="Normal"/>
    <w:link w:val="Balk5Char"/>
    <w:uiPriority w:val="9"/>
    <w:semiHidden/>
    <w:unhideWhenUsed/>
    <w:qFormat/>
    <w:rsid w:val="004863FF"/>
    <w:pPr>
      <w:keepNext/>
      <w:keepLines/>
      <w:spacing w:before="80" w:after="40"/>
      <w:outlineLvl w:val="4"/>
    </w:pPr>
    <w:rPr>
      <w:rFonts w:asciiTheme="minorHAnsi" w:eastAsiaTheme="majorEastAsia" w:hAnsiTheme="minorHAnsi" w:cstheme="majorBidi"/>
      <w:color w:val="2F5496" w:themeColor="accent1" w:themeShade="BF"/>
    </w:rPr>
  </w:style>
  <w:style w:type="paragraph" w:styleId="Balk6">
    <w:name w:val="heading 6"/>
    <w:basedOn w:val="Normal"/>
    <w:next w:val="Normal"/>
    <w:link w:val="Balk6Char"/>
    <w:uiPriority w:val="9"/>
    <w:semiHidden/>
    <w:unhideWhenUsed/>
    <w:qFormat/>
    <w:rsid w:val="004863FF"/>
    <w:pPr>
      <w:keepNext/>
      <w:keepLines/>
      <w:spacing w:before="40"/>
      <w:outlineLvl w:val="5"/>
    </w:pPr>
    <w:rPr>
      <w:rFonts w:asciiTheme="minorHAnsi" w:eastAsiaTheme="majorEastAsia" w:hAnsiTheme="minorHAnsi" w:cstheme="majorBidi"/>
      <w:i/>
      <w:iCs/>
      <w:color w:val="595959" w:themeColor="text1" w:themeTint="A6"/>
    </w:rPr>
  </w:style>
  <w:style w:type="paragraph" w:styleId="Balk7">
    <w:name w:val="heading 7"/>
    <w:basedOn w:val="Normal"/>
    <w:next w:val="Normal"/>
    <w:link w:val="Balk7Char"/>
    <w:uiPriority w:val="9"/>
    <w:semiHidden/>
    <w:unhideWhenUsed/>
    <w:qFormat/>
    <w:rsid w:val="004863FF"/>
    <w:pPr>
      <w:keepNext/>
      <w:keepLines/>
      <w:spacing w:before="40"/>
      <w:outlineLvl w:val="6"/>
    </w:pPr>
    <w:rPr>
      <w:rFonts w:asciiTheme="minorHAnsi" w:eastAsiaTheme="majorEastAsia" w:hAnsiTheme="minorHAnsi" w:cstheme="majorBidi"/>
      <w:color w:val="595959" w:themeColor="text1" w:themeTint="A6"/>
    </w:rPr>
  </w:style>
  <w:style w:type="paragraph" w:styleId="Balk8">
    <w:name w:val="heading 8"/>
    <w:basedOn w:val="Normal"/>
    <w:next w:val="Normal"/>
    <w:link w:val="Balk8Char"/>
    <w:uiPriority w:val="9"/>
    <w:semiHidden/>
    <w:unhideWhenUsed/>
    <w:qFormat/>
    <w:rsid w:val="004863FF"/>
    <w:pPr>
      <w:keepNext/>
      <w:keepLines/>
      <w:outlineLvl w:val="7"/>
    </w:pPr>
    <w:rPr>
      <w:rFonts w:asciiTheme="minorHAnsi" w:eastAsiaTheme="majorEastAsia" w:hAnsiTheme="minorHAnsi" w:cstheme="majorBidi"/>
      <w:i/>
      <w:iCs/>
      <w:color w:val="272727" w:themeColor="text1" w:themeTint="D8"/>
    </w:rPr>
  </w:style>
  <w:style w:type="paragraph" w:styleId="Balk9">
    <w:name w:val="heading 9"/>
    <w:basedOn w:val="Normal"/>
    <w:next w:val="Normal"/>
    <w:link w:val="Balk9Char"/>
    <w:uiPriority w:val="9"/>
    <w:semiHidden/>
    <w:unhideWhenUsed/>
    <w:qFormat/>
    <w:rsid w:val="004863FF"/>
    <w:pPr>
      <w:keepNext/>
      <w:keepLines/>
      <w:outlineLvl w:val="8"/>
    </w:pPr>
    <w:rPr>
      <w:rFonts w:asciiTheme="minorHAnsi" w:eastAsiaTheme="majorEastAsia" w:hAnsiTheme="minorHAnsi"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Balk1"/>
    <w:autoRedefine/>
    <w:qFormat/>
    <w:rsid w:val="00B427C8"/>
    <w:rPr>
      <w:b/>
      <w:sz w:val="28"/>
    </w:rPr>
  </w:style>
  <w:style w:type="character" w:customStyle="1" w:styleId="Balk1Char">
    <w:name w:val="Başlık 1 Char"/>
    <w:basedOn w:val="VarsaylanParagrafYazTipi"/>
    <w:link w:val="Balk1"/>
    <w:uiPriority w:val="9"/>
    <w:rsid w:val="00B427C8"/>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4863FF"/>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4863FF"/>
    <w:rPr>
      <w:rFonts w:asciiTheme="minorHAnsi" w:eastAsiaTheme="majorEastAsia" w:hAnsiTheme="minorHAnsi"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4863FF"/>
    <w:rPr>
      <w:rFonts w:asciiTheme="minorHAnsi" w:eastAsiaTheme="majorEastAsia" w:hAnsiTheme="minorHAnsi" w:cstheme="majorBidi"/>
      <w:i/>
      <w:iCs/>
      <w:color w:val="2F5496" w:themeColor="accent1" w:themeShade="BF"/>
    </w:rPr>
  </w:style>
  <w:style w:type="character" w:customStyle="1" w:styleId="Balk5Char">
    <w:name w:val="Başlık 5 Char"/>
    <w:basedOn w:val="VarsaylanParagrafYazTipi"/>
    <w:link w:val="Balk5"/>
    <w:uiPriority w:val="9"/>
    <w:semiHidden/>
    <w:rsid w:val="004863FF"/>
    <w:rPr>
      <w:rFonts w:asciiTheme="minorHAnsi" w:eastAsiaTheme="majorEastAsia" w:hAnsiTheme="minorHAnsi" w:cstheme="majorBidi"/>
      <w:color w:val="2F5496" w:themeColor="accent1" w:themeShade="BF"/>
    </w:rPr>
  </w:style>
  <w:style w:type="character" w:customStyle="1" w:styleId="Balk6Char">
    <w:name w:val="Başlık 6 Char"/>
    <w:basedOn w:val="VarsaylanParagrafYazTipi"/>
    <w:link w:val="Balk6"/>
    <w:uiPriority w:val="9"/>
    <w:semiHidden/>
    <w:rsid w:val="004863FF"/>
    <w:rPr>
      <w:rFonts w:asciiTheme="minorHAnsi" w:eastAsiaTheme="majorEastAsia" w:hAnsiTheme="minorHAnsi" w:cstheme="majorBidi"/>
      <w:i/>
      <w:iCs/>
      <w:color w:val="595959" w:themeColor="text1" w:themeTint="A6"/>
    </w:rPr>
  </w:style>
  <w:style w:type="character" w:customStyle="1" w:styleId="Balk7Char">
    <w:name w:val="Başlık 7 Char"/>
    <w:basedOn w:val="VarsaylanParagrafYazTipi"/>
    <w:link w:val="Balk7"/>
    <w:uiPriority w:val="9"/>
    <w:semiHidden/>
    <w:rsid w:val="004863FF"/>
    <w:rPr>
      <w:rFonts w:asciiTheme="minorHAnsi" w:eastAsiaTheme="majorEastAsia" w:hAnsiTheme="minorHAnsi" w:cstheme="majorBidi"/>
      <w:color w:val="595959" w:themeColor="text1" w:themeTint="A6"/>
    </w:rPr>
  </w:style>
  <w:style w:type="character" w:customStyle="1" w:styleId="Balk8Char">
    <w:name w:val="Başlık 8 Char"/>
    <w:basedOn w:val="VarsaylanParagrafYazTipi"/>
    <w:link w:val="Balk8"/>
    <w:uiPriority w:val="9"/>
    <w:semiHidden/>
    <w:rsid w:val="004863FF"/>
    <w:rPr>
      <w:rFonts w:asciiTheme="minorHAnsi" w:eastAsiaTheme="majorEastAsia" w:hAnsiTheme="minorHAnsi" w:cstheme="majorBidi"/>
      <w:i/>
      <w:iCs/>
      <w:color w:val="272727" w:themeColor="text1" w:themeTint="D8"/>
    </w:rPr>
  </w:style>
  <w:style w:type="character" w:customStyle="1" w:styleId="Balk9Char">
    <w:name w:val="Başlık 9 Char"/>
    <w:basedOn w:val="VarsaylanParagrafYazTipi"/>
    <w:link w:val="Balk9"/>
    <w:uiPriority w:val="9"/>
    <w:semiHidden/>
    <w:rsid w:val="004863FF"/>
    <w:rPr>
      <w:rFonts w:asciiTheme="minorHAnsi" w:eastAsiaTheme="majorEastAsia" w:hAnsiTheme="minorHAnsi" w:cstheme="majorBidi"/>
      <w:color w:val="272727" w:themeColor="text1" w:themeTint="D8"/>
    </w:rPr>
  </w:style>
  <w:style w:type="paragraph" w:styleId="KonuBal">
    <w:name w:val="Title"/>
    <w:basedOn w:val="Normal"/>
    <w:next w:val="Normal"/>
    <w:link w:val="KonuBalChar"/>
    <w:uiPriority w:val="10"/>
    <w:qFormat/>
    <w:rsid w:val="004863FF"/>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863F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863F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863FF"/>
    <w:rPr>
      <w:rFonts w:asciiTheme="minorHAnsi" w:eastAsiaTheme="majorEastAsia" w:hAnsiTheme="minorHAnsi" w:cstheme="majorBidi"/>
      <w:color w:val="595959" w:themeColor="text1" w:themeTint="A6"/>
      <w:spacing w:val="15"/>
      <w:sz w:val="28"/>
      <w:szCs w:val="28"/>
    </w:rPr>
  </w:style>
  <w:style w:type="paragraph" w:styleId="Alnt">
    <w:name w:val="Quote"/>
    <w:basedOn w:val="Normal"/>
    <w:next w:val="Normal"/>
    <w:link w:val="AlntChar"/>
    <w:uiPriority w:val="29"/>
    <w:qFormat/>
    <w:rsid w:val="004863FF"/>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4863FF"/>
    <w:rPr>
      <w:i/>
      <w:iCs/>
      <w:color w:val="404040" w:themeColor="text1" w:themeTint="BF"/>
    </w:rPr>
  </w:style>
  <w:style w:type="paragraph" w:styleId="ListeParagraf">
    <w:name w:val="List Paragraph"/>
    <w:basedOn w:val="Normal"/>
    <w:uiPriority w:val="34"/>
    <w:qFormat/>
    <w:rsid w:val="004863FF"/>
    <w:pPr>
      <w:ind w:left="720"/>
      <w:contextualSpacing/>
    </w:pPr>
  </w:style>
  <w:style w:type="character" w:styleId="GlVurgulama">
    <w:name w:val="Intense Emphasis"/>
    <w:basedOn w:val="VarsaylanParagrafYazTipi"/>
    <w:uiPriority w:val="21"/>
    <w:qFormat/>
    <w:rsid w:val="004863FF"/>
    <w:rPr>
      <w:i/>
      <w:iCs/>
      <w:color w:val="2F5496" w:themeColor="accent1" w:themeShade="BF"/>
    </w:rPr>
  </w:style>
  <w:style w:type="paragraph" w:styleId="GlAlnt">
    <w:name w:val="Intense Quote"/>
    <w:basedOn w:val="Normal"/>
    <w:next w:val="Normal"/>
    <w:link w:val="GlAlntChar"/>
    <w:uiPriority w:val="30"/>
    <w:qFormat/>
    <w:rsid w:val="004863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4863FF"/>
    <w:rPr>
      <w:i/>
      <w:iCs/>
      <w:color w:val="2F5496" w:themeColor="accent1" w:themeShade="BF"/>
    </w:rPr>
  </w:style>
  <w:style w:type="character" w:styleId="GlBavuru">
    <w:name w:val="Intense Reference"/>
    <w:basedOn w:val="VarsaylanParagrafYazTipi"/>
    <w:uiPriority w:val="32"/>
    <w:qFormat/>
    <w:rsid w:val="004863FF"/>
    <w:rPr>
      <w:b/>
      <w:bCs/>
      <w:smallCaps/>
      <w:color w:val="2F5496" w:themeColor="accent1" w:themeShade="BF"/>
      <w:spacing w:val="5"/>
    </w:rPr>
  </w:style>
  <w:style w:type="paragraph" w:styleId="NormalWeb">
    <w:name w:val="Normal (Web)"/>
    <w:basedOn w:val="Normal"/>
    <w:uiPriority w:val="99"/>
    <w:unhideWhenUsed/>
    <w:rsid w:val="00866FD4"/>
    <w:pPr>
      <w:spacing w:before="100" w:beforeAutospacing="1" w:after="100" w:afterAutospacing="1"/>
    </w:pPr>
    <w:rPr>
      <w:rFonts w:ascii="Times New Roman" w:eastAsia="Times New Roman" w:hAnsi="Times New Roman"/>
      <w:kern w:val="0"/>
      <w:sz w:val="24"/>
      <w:szCs w:val="24"/>
      <w:lang w:eastAsia="tr-TR"/>
      <w14:ligatures w14:val="none"/>
    </w:rPr>
  </w:style>
  <w:style w:type="character" w:styleId="Gl">
    <w:name w:val="Strong"/>
    <w:basedOn w:val="VarsaylanParagrafYazTipi"/>
    <w:uiPriority w:val="22"/>
    <w:qFormat/>
    <w:rsid w:val="00866FD4"/>
    <w:rPr>
      <w:b/>
      <w:bCs/>
    </w:rPr>
  </w:style>
  <w:style w:type="paragraph" w:styleId="stBilgi">
    <w:name w:val="header"/>
    <w:basedOn w:val="Normal"/>
    <w:link w:val="stBilgiChar"/>
    <w:uiPriority w:val="99"/>
    <w:unhideWhenUsed/>
    <w:rsid w:val="006E4ED3"/>
    <w:pPr>
      <w:tabs>
        <w:tab w:val="center" w:pos="4536"/>
        <w:tab w:val="right" w:pos="9072"/>
      </w:tabs>
    </w:pPr>
  </w:style>
  <w:style w:type="character" w:customStyle="1" w:styleId="stBilgiChar">
    <w:name w:val="Üst Bilgi Char"/>
    <w:basedOn w:val="VarsaylanParagrafYazTipi"/>
    <w:link w:val="stBilgi"/>
    <w:uiPriority w:val="99"/>
    <w:rsid w:val="006E4ED3"/>
  </w:style>
  <w:style w:type="paragraph" w:styleId="AltBilgi">
    <w:name w:val="footer"/>
    <w:basedOn w:val="Normal"/>
    <w:link w:val="AltBilgiChar"/>
    <w:uiPriority w:val="99"/>
    <w:unhideWhenUsed/>
    <w:rsid w:val="006E4ED3"/>
    <w:pPr>
      <w:tabs>
        <w:tab w:val="center" w:pos="4536"/>
        <w:tab w:val="right" w:pos="9072"/>
      </w:tabs>
    </w:pPr>
  </w:style>
  <w:style w:type="character" w:customStyle="1" w:styleId="AltBilgiChar">
    <w:name w:val="Alt Bilgi Char"/>
    <w:basedOn w:val="VarsaylanParagrafYazTipi"/>
    <w:link w:val="AltBilgi"/>
    <w:uiPriority w:val="99"/>
    <w:rsid w:val="006E4ED3"/>
  </w:style>
  <w:style w:type="paragraph" w:styleId="TBal">
    <w:name w:val="TOC Heading"/>
    <w:basedOn w:val="Balk1"/>
    <w:next w:val="Normal"/>
    <w:uiPriority w:val="39"/>
    <w:unhideWhenUsed/>
    <w:qFormat/>
    <w:rsid w:val="00737950"/>
    <w:pPr>
      <w:spacing w:before="240" w:after="0" w:line="259" w:lineRule="auto"/>
      <w:outlineLvl w:val="9"/>
    </w:pPr>
    <w:rPr>
      <w:kern w:val="0"/>
      <w:sz w:val="32"/>
      <w:szCs w:val="32"/>
      <w:lang w:eastAsia="tr-TR"/>
      <w14:ligatures w14:val="none"/>
    </w:rPr>
  </w:style>
  <w:style w:type="paragraph" w:styleId="T1">
    <w:name w:val="toc 1"/>
    <w:basedOn w:val="Normal"/>
    <w:next w:val="Normal"/>
    <w:autoRedefine/>
    <w:uiPriority w:val="39"/>
    <w:unhideWhenUsed/>
    <w:rsid w:val="00737950"/>
    <w:pPr>
      <w:spacing w:after="100"/>
    </w:pPr>
  </w:style>
  <w:style w:type="character" w:styleId="Kpr">
    <w:name w:val="Hyperlink"/>
    <w:basedOn w:val="VarsaylanParagrafYazTipi"/>
    <w:uiPriority w:val="99"/>
    <w:unhideWhenUsed/>
    <w:rsid w:val="00737950"/>
    <w:rPr>
      <w:color w:val="0563C1" w:themeColor="hyperlink"/>
      <w:u w:val="single"/>
    </w:rPr>
  </w:style>
  <w:style w:type="paragraph" w:styleId="Dzeltme">
    <w:name w:val="Revision"/>
    <w:hidden/>
    <w:uiPriority w:val="99"/>
    <w:semiHidden/>
    <w:rsid w:val="003661C6"/>
  </w:style>
  <w:style w:type="character" w:styleId="AklamaBavurusu">
    <w:name w:val="annotation reference"/>
    <w:basedOn w:val="VarsaylanParagrafYazTipi"/>
    <w:uiPriority w:val="99"/>
    <w:semiHidden/>
    <w:unhideWhenUsed/>
    <w:rsid w:val="00C663BD"/>
    <w:rPr>
      <w:sz w:val="16"/>
      <w:szCs w:val="16"/>
    </w:rPr>
  </w:style>
  <w:style w:type="paragraph" w:styleId="AklamaMetni">
    <w:name w:val="annotation text"/>
    <w:basedOn w:val="Normal"/>
    <w:link w:val="AklamaMetniChar"/>
    <w:uiPriority w:val="99"/>
    <w:unhideWhenUsed/>
    <w:rsid w:val="00C663BD"/>
  </w:style>
  <w:style w:type="character" w:customStyle="1" w:styleId="AklamaMetniChar">
    <w:name w:val="Açıklama Metni Char"/>
    <w:basedOn w:val="VarsaylanParagrafYazTipi"/>
    <w:link w:val="AklamaMetni"/>
    <w:uiPriority w:val="99"/>
    <w:rsid w:val="00C663BD"/>
  </w:style>
  <w:style w:type="paragraph" w:styleId="AklamaKonusu">
    <w:name w:val="annotation subject"/>
    <w:basedOn w:val="AklamaMetni"/>
    <w:next w:val="AklamaMetni"/>
    <w:link w:val="AklamaKonusuChar"/>
    <w:uiPriority w:val="99"/>
    <w:semiHidden/>
    <w:unhideWhenUsed/>
    <w:rsid w:val="00C663BD"/>
    <w:rPr>
      <w:b/>
      <w:bCs/>
    </w:rPr>
  </w:style>
  <w:style w:type="character" w:customStyle="1" w:styleId="AklamaKonusuChar">
    <w:name w:val="Açıklama Konusu Char"/>
    <w:basedOn w:val="AklamaMetniChar"/>
    <w:link w:val="AklamaKonusu"/>
    <w:uiPriority w:val="99"/>
    <w:semiHidden/>
    <w:rsid w:val="00C663BD"/>
    <w:rPr>
      <w:b/>
      <w:bCs/>
    </w:rPr>
  </w:style>
  <w:style w:type="table" w:styleId="TabloKlavuzu">
    <w:name w:val="Table Grid"/>
    <w:basedOn w:val="NormalTablo"/>
    <w:uiPriority w:val="39"/>
    <w:rsid w:val="00CB5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EE2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moproject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omoprojects.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4CDF2-51C9-407B-B041-104A6F9DD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6</Pages>
  <Words>2134</Words>
  <Characters>12167</Characters>
  <Application>Microsoft Office Word</Application>
  <DocSecurity>0</DocSecurity>
  <Lines>101</Lines>
  <Paragraphs>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Belen</dc:creator>
  <cp:keywords/>
  <dc:description/>
  <cp:lastModifiedBy>İsmail Belen</cp:lastModifiedBy>
  <cp:revision>10</cp:revision>
  <dcterms:created xsi:type="dcterms:W3CDTF">2025-09-21T18:19:00Z</dcterms:created>
  <dcterms:modified xsi:type="dcterms:W3CDTF">2025-09-25T17:52:00Z</dcterms:modified>
</cp:coreProperties>
</file>